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6A5DD" w14:textId="531EC7CC" w:rsidR="009301CC" w:rsidRDefault="00AE75B7">
      <w:pPr>
        <w:jc w:val="both"/>
        <w:rPr>
          <w:u w:val="single"/>
        </w:rPr>
      </w:pPr>
      <w:r>
        <w:rPr>
          <w:u w:val="single"/>
        </w:rPr>
        <w:t>Working document –</w:t>
      </w:r>
      <w:r w:rsidR="00000000">
        <w:rPr>
          <w:u w:val="single"/>
        </w:rPr>
        <w:t xml:space="preserve"> </w:t>
      </w:r>
      <w:r>
        <w:rPr>
          <w:u w:val="single"/>
        </w:rPr>
        <w:t>Extending Access to Information to Access to Data</w:t>
      </w:r>
    </w:p>
    <w:p w14:paraId="246ADEDE" w14:textId="54E40D86" w:rsidR="00E45AED" w:rsidRDefault="00E45AED">
      <w:pPr>
        <w:jc w:val="both"/>
        <w:rPr>
          <w:u w:val="single"/>
        </w:rPr>
      </w:pPr>
      <w:r>
        <w:rPr>
          <w:u w:val="single"/>
        </w:rPr>
        <w:t>August 2024</w:t>
      </w:r>
    </w:p>
    <w:p w14:paraId="6945DAE3" w14:textId="77777777" w:rsidR="009301CC" w:rsidRDefault="00000000">
      <w:pPr>
        <w:jc w:val="both"/>
        <w:rPr>
          <w:b/>
          <w:u w:val="single"/>
        </w:rPr>
      </w:pPr>
      <w:r>
        <w:rPr>
          <w:b/>
          <w:u w:val="single"/>
        </w:rPr>
        <w:t>Implementation advisory for Access to Information Stakeholders:  access to data and African standards.</w:t>
      </w:r>
    </w:p>
    <w:p w14:paraId="37EB1ADF" w14:textId="77777777" w:rsidR="009301CC" w:rsidRDefault="00000000">
      <w:pPr>
        <w:jc w:val="both"/>
        <w:rPr>
          <w:b/>
        </w:rPr>
      </w:pPr>
      <w:r>
        <w:t>This document comprises useful guides for three constituencies. T</w:t>
      </w:r>
      <w:r>
        <w:rPr>
          <w:b/>
        </w:rPr>
        <w:t xml:space="preserve">he first guide is for Information Commissioners; the second for parliamentarians working in this area; the third for civil society working in this area. </w:t>
      </w:r>
    </w:p>
    <w:p w14:paraId="51729FC6" w14:textId="77777777" w:rsidR="009301CC" w:rsidRDefault="00000000">
      <w:pPr>
        <w:jc w:val="both"/>
        <w:rPr>
          <w:i/>
        </w:rPr>
      </w:pPr>
      <w:r>
        <w:t xml:space="preserve"> </w:t>
      </w:r>
      <w:r>
        <w:rPr>
          <w:i/>
        </w:rPr>
        <w:t>This particular document is based on the recognition that data (both public and private) is increasingly a key driver of processes and developments. Data informs decisions - whether automated by algorithms, or made by humans, and data is the fuel of machine-learning AI. Access to data should incorporate issues of privacy, storage, security, ethical use, and sharing.</w:t>
      </w:r>
    </w:p>
    <w:p w14:paraId="356842B3" w14:textId="77777777" w:rsidR="009301CC" w:rsidRDefault="00000000">
      <w:pPr>
        <w:jc w:val="both"/>
      </w:pPr>
      <w:r>
        <w:t xml:space="preserve">Therefore the focus below is on how actors (specifically ICs, MPs and civil society) can get a greater understanding of the role of data in regard to the standing ATI agenda. It pinpoints the actions needed to achieve this, elaborates on what these actions entail, and provides the reference point in a range of agreed pan-African and international standards. The three-part package can help stakeholders implement their mandate/mission in digital times, in alignment with these standards. </w:t>
      </w:r>
    </w:p>
    <w:p w14:paraId="7BD3A9B6" w14:textId="77777777" w:rsidR="009301CC" w:rsidRDefault="00000000">
      <w:pPr>
        <w:jc w:val="both"/>
        <w:rPr>
          <w:color w:val="1C1C1C"/>
          <w:highlight w:val="white"/>
        </w:rPr>
      </w:pPr>
      <w:r>
        <w:t>The guidance note below elaborates on what African and international standards say about</w:t>
      </w:r>
      <w:r>
        <w:rPr>
          <w:color w:val="1C1C1C"/>
          <w:highlight w:val="white"/>
        </w:rPr>
        <w:t xml:space="preserve"> data accessibility in their respective sections. UNESCO suggests this could cover (1) the right to access, (2) eligibility of the requester, (3) requesting procedures, (4) exceptions, (5) sanctions and protections, and (6) proactivity/need for a digital requesting platform, etc. Additionally, guidance should help the three stakeholder groups on the issues where the right to privacy and the right to information intersect. This set of instruments can be complemented by more extensive research publications with more detail, and with capacity-building but here the focus is on short, easily digestible and action-oriented guidance. </w:t>
      </w:r>
    </w:p>
    <w:p w14:paraId="02229F69" w14:textId="77777777" w:rsidR="009301CC" w:rsidRDefault="00000000">
      <w:pPr>
        <w:jc w:val="both"/>
      </w:pPr>
      <w:r>
        <w:t>=</w:t>
      </w:r>
    </w:p>
    <w:p w14:paraId="054A2F07" w14:textId="77777777" w:rsidR="009301CC" w:rsidRDefault="00000000">
      <w:pPr>
        <w:jc w:val="both"/>
        <w:rPr>
          <w:u w:val="single"/>
        </w:rPr>
      </w:pPr>
      <w:r>
        <w:rPr>
          <w:u w:val="single"/>
        </w:rPr>
        <w:t>Specs:</w:t>
      </w:r>
    </w:p>
    <w:p w14:paraId="09FAD5A6" w14:textId="77777777" w:rsidR="009301CC" w:rsidRDefault="00000000">
      <w:pPr>
        <w:jc w:val="both"/>
      </w:pPr>
      <w:r>
        <w:t xml:space="preserve">2 or 3 page length of core guide, per stakeholder group (ICs, parliamentarians, civil society), </w:t>
      </w:r>
      <w:r>
        <w:rPr>
          <w:i/>
        </w:rPr>
        <w:t xml:space="preserve">plus </w:t>
      </w:r>
      <w:r>
        <w:t xml:space="preserve">Appendix in each case </w:t>
      </w:r>
      <w:r>
        <w:rPr>
          <w:i/>
        </w:rPr>
        <w:t>with details on relevant African standards</w:t>
      </w:r>
      <w:r>
        <w:t xml:space="preserve">.  To output in English and French. </w:t>
      </w:r>
    </w:p>
    <w:p w14:paraId="76E2EAF4" w14:textId="77777777" w:rsidR="009301CC" w:rsidRDefault="00000000">
      <w:pPr>
        <w:jc w:val="both"/>
      </w:pPr>
      <w:r>
        <w:t>Actions by the coalition: to convene targeted webinars/roundtables in partnership with stakeholder groups (eg. ANIC, UNESCO), then to update/revise and finally seek a form of direct / indirect recognition from the ACHPR, and the 2024 global conference on the International Day for Universal Access to Information, Accra, 28 September.  The conference will also issue a statement (currently being led by UP Centre).</w:t>
      </w:r>
    </w:p>
    <w:p w14:paraId="7A5C8348" w14:textId="77777777" w:rsidR="009301CC" w:rsidRDefault="00000000">
      <w:pPr>
        <w:jc w:val="both"/>
      </w:pPr>
      <w:r>
        <w:t>Timing: Feb/March – involving key partners including ANIC and UNESCO, completion of draft and possible presentation to [list of existing and proposed events needed]</w:t>
      </w:r>
    </w:p>
    <w:p w14:paraId="4A256900" w14:textId="77777777" w:rsidR="009301CC" w:rsidRDefault="00000000">
      <w:pPr>
        <w:jc w:val="both"/>
        <w:rPr>
          <w:highlight w:val="yellow"/>
        </w:rPr>
      </w:pPr>
      <w:r>
        <w:rPr>
          <w:highlight w:val="yellow"/>
        </w:rPr>
        <w:t xml:space="preserve"> </w:t>
      </w:r>
    </w:p>
    <w:p w14:paraId="183A0AFB" w14:textId="77777777" w:rsidR="009301CC" w:rsidRDefault="00000000">
      <w:r>
        <w:t>==</w:t>
      </w:r>
    </w:p>
    <w:p w14:paraId="05C3FAD5" w14:textId="77777777" w:rsidR="009301CC" w:rsidRDefault="00000000">
      <w:pPr>
        <w:numPr>
          <w:ilvl w:val="0"/>
          <w:numId w:val="3"/>
        </w:numPr>
        <w:pBdr>
          <w:top w:val="nil"/>
          <w:left w:val="nil"/>
          <w:bottom w:val="nil"/>
          <w:right w:val="nil"/>
          <w:between w:val="nil"/>
        </w:pBdr>
        <w:rPr>
          <w:b/>
          <w:color w:val="000000"/>
        </w:rPr>
      </w:pPr>
      <w:r>
        <w:rPr>
          <w:b/>
        </w:rPr>
        <w:t>Implementation guidelines f</w:t>
      </w:r>
      <w:r>
        <w:rPr>
          <w:b/>
          <w:color w:val="000000"/>
        </w:rPr>
        <w:t xml:space="preserve">or </w:t>
      </w:r>
      <w:r>
        <w:rPr>
          <w:b/>
        </w:rPr>
        <w:t>Information Access stakeholders (ICs)</w:t>
      </w:r>
    </w:p>
    <w:p w14:paraId="4A7A60F8" w14:textId="77777777" w:rsidR="009301CC" w:rsidRDefault="00000000">
      <w:pPr>
        <w:pBdr>
          <w:top w:val="nil"/>
          <w:left w:val="nil"/>
          <w:bottom w:val="nil"/>
          <w:right w:val="nil"/>
          <w:between w:val="nil"/>
        </w:pBdr>
        <w:rPr>
          <w:u w:val="single"/>
        </w:rPr>
      </w:pPr>
      <w:r>
        <w:rPr>
          <w:u w:val="single"/>
        </w:rPr>
        <w:t>Purpose and use of this guideline</w:t>
      </w:r>
    </w:p>
    <w:p w14:paraId="53E6EEA6" w14:textId="77777777" w:rsidR="009301CC" w:rsidRDefault="00000000">
      <w:pPr>
        <w:jc w:val="both"/>
      </w:pPr>
      <w:r>
        <w:lastRenderedPageBreak/>
        <w:t xml:space="preserve">Data, especially that used by social media,  is increasingly a key driver of processes and outcomes that are relevant to ATI. Data sets are used to inform decisions, whether automated by algorithms, or made by humans, and data is also the fuel of machine-learning AI that can generate content, target it, and create fake identity profiles . </w:t>
      </w:r>
    </w:p>
    <w:p w14:paraId="5D5E2700" w14:textId="77777777" w:rsidR="009301CC" w:rsidRDefault="00000000">
      <w:pPr>
        <w:jc w:val="both"/>
      </w:pPr>
      <w:r>
        <w:t>Therefore the focus here is on how African ICs can get a greater understanding of the role of data in a national election, so they can intervene as needed. It pinpoints the actions needed for this, elaborates on what these entail, and provides the legitimation in a range of agreed pan-African and international standards.</w:t>
      </w:r>
    </w:p>
    <w:p w14:paraId="000B1CE5" w14:textId="77777777" w:rsidR="009301CC" w:rsidRDefault="00000000">
      <w:pPr>
        <w:jc w:val="both"/>
      </w:pPr>
      <w:r>
        <w:rPr>
          <w:u w:val="single"/>
        </w:rPr>
        <w:t>Key action points/opportunities for ICs</w:t>
      </w:r>
      <w:r>
        <w:t>:</w:t>
      </w:r>
    </w:p>
    <w:p w14:paraId="45603444" w14:textId="77777777" w:rsidR="009301CC" w:rsidRDefault="00000000">
      <w:pPr>
        <w:numPr>
          <w:ilvl w:val="0"/>
          <w:numId w:val="4"/>
        </w:numPr>
        <w:pBdr>
          <w:top w:val="nil"/>
          <w:left w:val="nil"/>
          <w:bottom w:val="nil"/>
          <w:right w:val="nil"/>
          <w:between w:val="nil"/>
        </w:pBdr>
        <w:spacing w:after="0"/>
        <w:jc w:val="both"/>
      </w:pPr>
      <w:r>
        <w:rPr>
          <w:b/>
        </w:rPr>
        <w:t xml:space="preserve">Clarify how national situation/laws have implications for RTD </w:t>
      </w:r>
      <w:r>
        <w:t xml:space="preserve"> (example only, to be amended as needs be)</w:t>
      </w:r>
    </w:p>
    <w:p w14:paraId="16C1DB97" w14:textId="77777777" w:rsidR="009301CC" w:rsidRDefault="00000000">
      <w:pPr>
        <w:numPr>
          <w:ilvl w:val="0"/>
          <w:numId w:val="4"/>
        </w:numPr>
        <w:pBdr>
          <w:top w:val="nil"/>
          <w:left w:val="nil"/>
          <w:bottom w:val="nil"/>
          <w:right w:val="nil"/>
          <w:between w:val="nil"/>
        </w:pBdr>
        <w:spacing w:after="0"/>
        <w:jc w:val="both"/>
      </w:pPr>
      <w:r>
        <w:rPr>
          <w:b/>
        </w:rPr>
        <w:t>Share national good practices</w:t>
      </w:r>
      <w:r>
        <w:t>: to be elaborated</w:t>
      </w:r>
    </w:p>
    <w:p w14:paraId="2611EA87" w14:textId="77777777" w:rsidR="009301CC" w:rsidRDefault="00000000">
      <w:pPr>
        <w:numPr>
          <w:ilvl w:val="0"/>
          <w:numId w:val="4"/>
        </w:numPr>
        <w:pBdr>
          <w:top w:val="nil"/>
          <w:left w:val="nil"/>
          <w:bottom w:val="nil"/>
          <w:right w:val="nil"/>
          <w:between w:val="nil"/>
        </w:pBdr>
        <w:spacing w:after="0"/>
        <w:jc w:val="both"/>
      </w:pPr>
      <w:r>
        <w:rPr>
          <w:b/>
        </w:rPr>
        <w:t>Communicate the results</w:t>
      </w:r>
      <w:r>
        <w:t xml:space="preserve">: </w:t>
      </w:r>
      <w:r>
        <w:rPr>
          <w:color w:val="000000"/>
        </w:rPr>
        <w:t>Publicise findings from the first two actiona</w:t>
      </w:r>
      <w:r>
        <w:t xml:space="preserve">bles. </w:t>
      </w:r>
    </w:p>
    <w:p w14:paraId="185EF923" w14:textId="77777777" w:rsidR="009301CC" w:rsidRDefault="009301CC">
      <w:pPr>
        <w:pBdr>
          <w:top w:val="nil"/>
          <w:left w:val="nil"/>
          <w:bottom w:val="nil"/>
          <w:right w:val="nil"/>
          <w:between w:val="nil"/>
        </w:pBdr>
        <w:rPr>
          <w:u w:val="single"/>
        </w:rPr>
      </w:pPr>
    </w:p>
    <w:p w14:paraId="0E88811E" w14:textId="77777777" w:rsidR="009301CC" w:rsidRDefault="00000000">
      <w:pPr>
        <w:pBdr>
          <w:top w:val="nil"/>
          <w:left w:val="nil"/>
          <w:bottom w:val="nil"/>
          <w:right w:val="nil"/>
          <w:between w:val="nil"/>
        </w:pBdr>
        <w:rPr>
          <w:u w:val="single"/>
        </w:rPr>
      </w:pPr>
      <w:r>
        <w:rPr>
          <w:u w:val="single"/>
        </w:rPr>
        <w:t>What’s entailed in each Action point:</w:t>
      </w:r>
    </w:p>
    <w:p w14:paraId="25CE27BA" w14:textId="77777777" w:rsidR="009301CC" w:rsidRDefault="00000000">
      <w:pPr>
        <w:numPr>
          <w:ilvl w:val="0"/>
          <w:numId w:val="6"/>
        </w:numPr>
        <w:pBdr>
          <w:top w:val="nil"/>
          <w:left w:val="nil"/>
          <w:bottom w:val="nil"/>
          <w:right w:val="nil"/>
          <w:between w:val="nil"/>
        </w:pBdr>
        <w:spacing w:after="0"/>
        <w:jc w:val="both"/>
        <w:rPr>
          <w:color w:val="000000"/>
        </w:rPr>
      </w:pPr>
      <w:r>
        <w:rPr>
          <w:b/>
        </w:rPr>
        <w:t>Point 1</w:t>
      </w:r>
      <w:r>
        <w:t>: to be elaborated &lt; 300 words</w:t>
      </w:r>
    </w:p>
    <w:p w14:paraId="70D6DD83" w14:textId="77777777" w:rsidR="009301CC" w:rsidRDefault="00000000">
      <w:pPr>
        <w:numPr>
          <w:ilvl w:val="0"/>
          <w:numId w:val="6"/>
        </w:numPr>
        <w:pBdr>
          <w:top w:val="nil"/>
          <w:left w:val="nil"/>
          <w:bottom w:val="nil"/>
          <w:right w:val="nil"/>
          <w:between w:val="nil"/>
        </w:pBdr>
        <w:spacing w:after="0"/>
        <w:jc w:val="both"/>
      </w:pPr>
      <w:r>
        <w:rPr>
          <w:b/>
        </w:rPr>
        <w:t>Point 2</w:t>
      </w:r>
      <w:r>
        <w:t>: to be elaborated</w:t>
      </w:r>
    </w:p>
    <w:p w14:paraId="7DFCEDB6" w14:textId="77777777" w:rsidR="009301CC" w:rsidRDefault="00000000">
      <w:pPr>
        <w:numPr>
          <w:ilvl w:val="0"/>
          <w:numId w:val="6"/>
        </w:numPr>
        <w:pBdr>
          <w:top w:val="nil"/>
          <w:left w:val="nil"/>
          <w:bottom w:val="nil"/>
          <w:right w:val="nil"/>
          <w:between w:val="nil"/>
        </w:pBdr>
        <w:jc w:val="both"/>
      </w:pPr>
      <w:r>
        <w:rPr>
          <w:b/>
        </w:rPr>
        <w:t xml:space="preserve">Point 3: </w:t>
      </w:r>
      <w:r>
        <w:t>to be elaborated</w:t>
      </w:r>
    </w:p>
    <w:p w14:paraId="6B385A86" w14:textId="77777777" w:rsidR="009301CC" w:rsidRDefault="009301CC">
      <w:pPr>
        <w:pBdr>
          <w:top w:val="nil"/>
          <w:left w:val="nil"/>
          <w:bottom w:val="nil"/>
          <w:right w:val="nil"/>
          <w:between w:val="nil"/>
        </w:pBdr>
        <w:ind w:left="720"/>
        <w:jc w:val="both"/>
        <w:rPr>
          <w:u w:val="single"/>
        </w:rPr>
      </w:pPr>
    </w:p>
    <w:p w14:paraId="6BF5A6CF" w14:textId="77777777" w:rsidR="009301CC" w:rsidRDefault="00000000">
      <w:pPr>
        <w:numPr>
          <w:ilvl w:val="0"/>
          <w:numId w:val="6"/>
        </w:numPr>
        <w:pBdr>
          <w:top w:val="nil"/>
          <w:left w:val="nil"/>
          <w:bottom w:val="nil"/>
          <w:right w:val="nil"/>
          <w:between w:val="nil"/>
        </w:pBdr>
        <w:jc w:val="both"/>
      </w:pPr>
      <w:r>
        <w:rPr>
          <w:u w:val="single"/>
        </w:rPr>
        <w:t>Underlying foundations</w:t>
      </w:r>
      <w:r>
        <w:t>: (to be updated)</w:t>
      </w:r>
    </w:p>
    <w:bookmarkStart w:id="0" w:name="_heading=h.gjdgxs" w:colFirst="0" w:colLast="0"/>
    <w:bookmarkEnd w:id="0"/>
    <w:p w14:paraId="4A0D5533" w14:textId="77777777" w:rsidR="009301CC" w:rsidRDefault="00000000">
      <w:pPr>
        <w:numPr>
          <w:ilvl w:val="0"/>
          <w:numId w:val="7"/>
        </w:numPr>
        <w:pBdr>
          <w:top w:val="nil"/>
          <w:left w:val="nil"/>
          <w:bottom w:val="nil"/>
          <w:right w:val="nil"/>
          <w:between w:val="nil"/>
        </w:pBdr>
        <w:spacing w:after="0"/>
      </w:pPr>
      <w:r>
        <w:fldChar w:fldCharType="begin"/>
      </w:r>
      <w:r>
        <w:instrText>HYPERLINK "https://commspolicy.africa/wp-content/uploads/2023/11/AAEA-Guidelines.pdf" \h</w:instrText>
      </w:r>
      <w:r>
        <w:fldChar w:fldCharType="separate"/>
      </w:r>
      <w:r>
        <w:rPr>
          <w:color w:val="0563C1"/>
          <w:u w:val="single"/>
        </w:rPr>
        <w:t>Principles and Guidelines on the Use of Digital and Social Media</w:t>
      </w:r>
      <w:r>
        <w:rPr>
          <w:color w:val="0563C1"/>
          <w:u w:val="single"/>
        </w:rPr>
        <w:fldChar w:fldCharType="end"/>
      </w:r>
      <w:r>
        <w:t xml:space="preserve"> (AAEA)</w:t>
      </w:r>
    </w:p>
    <w:p w14:paraId="7C8A650F" w14:textId="77777777" w:rsidR="009301CC" w:rsidRDefault="00000000">
      <w:pPr>
        <w:numPr>
          <w:ilvl w:val="0"/>
          <w:numId w:val="7"/>
        </w:numPr>
        <w:pBdr>
          <w:top w:val="nil"/>
          <w:left w:val="nil"/>
          <w:bottom w:val="nil"/>
          <w:right w:val="nil"/>
          <w:between w:val="nil"/>
        </w:pBdr>
        <w:spacing w:after="0"/>
      </w:pPr>
      <w:hyperlink r:id="rId8">
        <w:r>
          <w:rPr>
            <w:color w:val="0563C1"/>
            <w:u w:val="single"/>
          </w:rPr>
          <w:t>Declaration of principles o</w:t>
        </w:r>
      </w:hyperlink>
      <w:hyperlink r:id="rId9">
        <w:r>
          <w:rPr>
            <w:color w:val="0563C1"/>
            <w:u w:val="single"/>
          </w:rPr>
          <w:t>n</w:t>
        </w:r>
      </w:hyperlink>
      <w:hyperlink r:id="rId10">
        <w:r>
          <w:rPr>
            <w:color w:val="0563C1"/>
            <w:u w:val="single"/>
          </w:rPr>
          <w:t xml:space="preserve"> freedom of expression and access to information in Africa</w:t>
        </w:r>
      </w:hyperlink>
      <w:r>
        <w:rPr>
          <w:color w:val="000000"/>
        </w:rPr>
        <w:t>.</w:t>
      </w:r>
    </w:p>
    <w:p w14:paraId="6453E0FD" w14:textId="77777777" w:rsidR="009301CC" w:rsidRDefault="00000000">
      <w:pPr>
        <w:numPr>
          <w:ilvl w:val="0"/>
          <w:numId w:val="7"/>
        </w:numPr>
        <w:pBdr>
          <w:top w:val="nil"/>
          <w:left w:val="nil"/>
          <w:bottom w:val="nil"/>
          <w:right w:val="nil"/>
          <w:between w:val="nil"/>
        </w:pBdr>
        <w:spacing w:after="0"/>
      </w:pPr>
      <w:hyperlink r:id="rId11">
        <w:r>
          <w:rPr>
            <w:color w:val="0563C1"/>
            <w:u w:val="single"/>
          </w:rPr>
          <w:t xml:space="preserve">Guidelines on Access to Information </w:t>
        </w:r>
      </w:hyperlink>
      <w:hyperlink r:id="rId12">
        <w:r>
          <w:rPr>
            <w:color w:val="0563C1"/>
            <w:u w:val="single"/>
          </w:rPr>
          <w:t xml:space="preserve">and </w:t>
        </w:r>
      </w:hyperlink>
      <w:hyperlink r:id="rId13">
        <w:r>
          <w:rPr>
            <w:color w:val="0563C1"/>
            <w:u w:val="single"/>
          </w:rPr>
          <w:t>Elections in Africa</w:t>
        </w:r>
      </w:hyperlink>
      <w:r>
        <w:t xml:space="preserve"> </w:t>
      </w:r>
    </w:p>
    <w:p w14:paraId="00EB4386" w14:textId="77777777" w:rsidR="009301CC" w:rsidRDefault="00000000">
      <w:pPr>
        <w:numPr>
          <w:ilvl w:val="0"/>
          <w:numId w:val="7"/>
        </w:numPr>
        <w:pBdr>
          <w:top w:val="nil"/>
          <w:left w:val="nil"/>
          <w:bottom w:val="nil"/>
          <w:right w:val="nil"/>
          <w:between w:val="nil"/>
        </w:pBdr>
        <w:spacing w:after="0"/>
      </w:pPr>
      <w:r>
        <w:rPr>
          <w:color w:val="000000"/>
        </w:rPr>
        <w:t xml:space="preserve">UN </w:t>
      </w:r>
      <w:hyperlink r:id="rId14">
        <w:r>
          <w:rPr>
            <w:color w:val="0000FF"/>
            <w:u w:val="single"/>
          </w:rPr>
          <w:t>Guiding Principles on Business and Human Rights</w:t>
        </w:r>
      </w:hyperlink>
    </w:p>
    <w:p w14:paraId="5C8A1796" w14:textId="77777777" w:rsidR="009301CC" w:rsidRDefault="00000000">
      <w:pPr>
        <w:numPr>
          <w:ilvl w:val="0"/>
          <w:numId w:val="7"/>
        </w:numPr>
        <w:pBdr>
          <w:top w:val="nil"/>
          <w:left w:val="nil"/>
          <w:bottom w:val="nil"/>
          <w:right w:val="nil"/>
          <w:between w:val="nil"/>
        </w:pBdr>
      </w:pPr>
      <w:r>
        <w:rPr>
          <w:color w:val="000000"/>
        </w:rPr>
        <w:t xml:space="preserve">UNESCO </w:t>
      </w:r>
      <w:hyperlink r:id="rId15">
        <w:r>
          <w:rPr>
            <w:color w:val="0000FF"/>
            <w:u w:val="single"/>
          </w:rPr>
          <w:t>Guidelines for the governance of digital platforms: safeguarding freedom of expression and access to information through a multi-stakeholder approach</w:t>
        </w:r>
      </w:hyperlink>
    </w:p>
    <w:p w14:paraId="38B7C044" w14:textId="77777777" w:rsidR="009301CC" w:rsidRDefault="00000000">
      <w:pPr>
        <w:numPr>
          <w:ilvl w:val="0"/>
          <w:numId w:val="7"/>
        </w:numPr>
        <w:pBdr>
          <w:top w:val="nil"/>
          <w:left w:val="nil"/>
          <w:bottom w:val="nil"/>
          <w:right w:val="nil"/>
          <w:between w:val="nil"/>
        </w:pBdr>
        <w:spacing w:after="0"/>
      </w:pPr>
      <w:r>
        <w:t>“</w:t>
      </w:r>
      <w:hyperlink r:id="rId16">
        <w:r>
          <w:rPr>
            <w:color w:val="1155CC"/>
            <w:u w:val="single"/>
          </w:rPr>
          <w:t>Journalism and Elections in Times of Disinformation</w:t>
        </w:r>
      </w:hyperlink>
      <w:r>
        <w:t xml:space="preserve">” </w:t>
      </w:r>
      <w:r>
        <w:rPr>
          <w:i/>
        </w:rPr>
        <w:t>Addis Ababa Declaration on World Press Freedom Day 2019</w:t>
      </w:r>
    </w:p>
    <w:p w14:paraId="7C57CFC9" w14:textId="77777777" w:rsidR="009301CC" w:rsidRDefault="00000000">
      <w:pPr>
        <w:numPr>
          <w:ilvl w:val="0"/>
          <w:numId w:val="7"/>
        </w:numPr>
        <w:pBdr>
          <w:top w:val="nil"/>
          <w:left w:val="nil"/>
          <w:bottom w:val="nil"/>
          <w:right w:val="nil"/>
          <w:between w:val="nil"/>
        </w:pBdr>
        <w:spacing w:after="0"/>
      </w:pPr>
      <w:r>
        <w:t>Malabo Convention</w:t>
      </w:r>
    </w:p>
    <w:p w14:paraId="4FCB3F1D" w14:textId="77777777" w:rsidR="009301CC" w:rsidRDefault="00000000">
      <w:r>
        <w:rPr>
          <w:i/>
        </w:rPr>
        <w:t xml:space="preserve">Anything else specifically? AU data policy framework? ; </w:t>
      </w:r>
    </w:p>
    <w:p w14:paraId="4341275B" w14:textId="77777777" w:rsidR="009301CC" w:rsidRDefault="00000000">
      <w:r>
        <w:rPr>
          <w:u w:val="single"/>
        </w:rPr>
        <w:t>Annex</w:t>
      </w:r>
      <w:r>
        <w:t xml:space="preserve">: </w:t>
      </w:r>
    </w:p>
    <w:p w14:paraId="358FB682" w14:textId="77777777" w:rsidR="009301CC" w:rsidRDefault="00000000">
      <w:r>
        <w:t xml:space="preserve">Relevant clauses from the Foundational documents (to be elaborated) for all 3 actionables for ICs.  </w:t>
      </w:r>
    </w:p>
    <w:p w14:paraId="65597B02" w14:textId="77777777" w:rsidR="009301CC" w:rsidRDefault="009301CC"/>
    <w:tbl>
      <w:tblPr>
        <w:tblStyle w:val="a2"/>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5"/>
        <w:gridCol w:w="1380"/>
        <w:gridCol w:w="6030"/>
      </w:tblGrid>
      <w:tr w:rsidR="009301CC" w14:paraId="1CE043B1" w14:textId="77777777">
        <w:tc>
          <w:tcPr>
            <w:tcW w:w="1635" w:type="dxa"/>
            <w:shd w:val="clear" w:color="auto" w:fill="auto"/>
            <w:tcMar>
              <w:top w:w="100" w:type="dxa"/>
              <w:left w:w="100" w:type="dxa"/>
              <w:bottom w:w="100" w:type="dxa"/>
              <w:right w:w="100" w:type="dxa"/>
            </w:tcMar>
          </w:tcPr>
          <w:p w14:paraId="34D0D724"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4ADA4AA2" w14:textId="77777777" w:rsidR="009301CC" w:rsidRDefault="00000000">
            <w:pPr>
              <w:widowControl w:val="0"/>
              <w:spacing w:after="0" w:line="240" w:lineRule="auto"/>
            </w:pPr>
            <w:r>
              <w:t>Instrument</w:t>
            </w:r>
          </w:p>
        </w:tc>
        <w:tc>
          <w:tcPr>
            <w:tcW w:w="6030" w:type="dxa"/>
            <w:shd w:val="clear" w:color="auto" w:fill="auto"/>
            <w:tcMar>
              <w:top w:w="100" w:type="dxa"/>
              <w:left w:w="100" w:type="dxa"/>
              <w:bottom w:w="100" w:type="dxa"/>
              <w:right w:w="100" w:type="dxa"/>
            </w:tcMar>
          </w:tcPr>
          <w:p w14:paraId="336DF86D" w14:textId="77777777" w:rsidR="009301CC" w:rsidRDefault="00000000">
            <w:pPr>
              <w:widowControl w:val="0"/>
              <w:spacing w:after="0" w:line="240" w:lineRule="auto"/>
            </w:pPr>
            <w:r>
              <w:t xml:space="preserve">Clause/s </w:t>
            </w:r>
          </w:p>
        </w:tc>
      </w:tr>
      <w:tr w:rsidR="009301CC" w14:paraId="279B465F" w14:textId="77777777">
        <w:tc>
          <w:tcPr>
            <w:tcW w:w="1635" w:type="dxa"/>
            <w:shd w:val="clear" w:color="auto" w:fill="auto"/>
            <w:tcMar>
              <w:top w:w="100" w:type="dxa"/>
              <w:left w:w="100" w:type="dxa"/>
              <w:bottom w:w="100" w:type="dxa"/>
              <w:right w:w="100" w:type="dxa"/>
            </w:tcMar>
          </w:tcPr>
          <w:p w14:paraId="6291ABD3" w14:textId="77777777" w:rsidR="009301CC" w:rsidRDefault="00000000">
            <w:pPr>
              <w:widowControl w:val="0"/>
              <w:pBdr>
                <w:top w:val="nil"/>
                <w:left w:val="nil"/>
                <w:bottom w:val="nil"/>
                <w:right w:val="nil"/>
                <w:between w:val="nil"/>
              </w:pBdr>
              <w:spacing w:after="0" w:line="240" w:lineRule="auto"/>
              <w:rPr>
                <w:shd w:val="clear" w:color="auto" w:fill="E6B8AF"/>
              </w:rPr>
            </w:pPr>
            <w:r>
              <w:rPr>
                <w:shd w:val="clear" w:color="auto" w:fill="E6B8AF"/>
              </w:rPr>
              <w:t xml:space="preserve">Action 1: </w:t>
            </w:r>
          </w:p>
          <w:p w14:paraId="0979A548" w14:textId="77777777" w:rsidR="009301CC" w:rsidRDefault="00000000">
            <w:pPr>
              <w:widowControl w:val="0"/>
              <w:pBdr>
                <w:top w:val="nil"/>
                <w:left w:val="nil"/>
                <w:bottom w:val="nil"/>
                <w:right w:val="nil"/>
                <w:between w:val="nil"/>
              </w:pBdr>
              <w:spacing w:after="0" w:line="240" w:lineRule="auto"/>
              <w:rPr>
                <w:shd w:val="clear" w:color="auto" w:fill="E6B8AF"/>
              </w:rPr>
            </w:pPr>
            <w:r>
              <w:rPr>
                <w:shd w:val="clear" w:color="auto" w:fill="E6B8AF"/>
              </w:rPr>
              <w:t>As per above</w:t>
            </w:r>
          </w:p>
        </w:tc>
        <w:tc>
          <w:tcPr>
            <w:tcW w:w="1380" w:type="dxa"/>
            <w:shd w:val="clear" w:color="auto" w:fill="auto"/>
            <w:tcMar>
              <w:top w:w="100" w:type="dxa"/>
              <w:left w:w="100" w:type="dxa"/>
              <w:bottom w:w="100" w:type="dxa"/>
              <w:right w:w="100" w:type="dxa"/>
            </w:tcMar>
          </w:tcPr>
          <w:p w14:paraId="1AC676A7" w14:textId="77777777" w:rsidR="009301CC" w:rsidRDefault="00000000">
            <w:pPr>
              <w:widowControl w:val="0"/>
              <w:pBdr>
                <w:top w:val="nil"/>
                <w:left w:val="nil"/>
                <w:bottom w:val="nil"/>
                <w:right w:val="nil"/>
                <w:between w:val="nil"/>
              </w:pBdr>
              <w:spacing w:after="0" w:line="240" w:lineRule="auto"/>
            </w:pPr>
            <w:r>
              <w:t xml:space="preserve">AAEA Principles and Guidelines </w:t>
            </w:r>
          </w:p>
        </w:tc>
        <w:tc>
          <w:tcPr>
            <w:tcW w:w="6030" w:type="dxa"/>
            <w:shd w:val="clear" w:color="auto" w:fill="auto"/>
            <w:tcMar>
              <w:top w:w="100" w:type="dxa"/>
              <w:left w:w="100" w:type="dxa"/>
              <w:bottom w:w="100" w:type="dxa"/>
              <w:right w:w="100" w:type="dxa"/>
            </w:tcMar>
          </w:tcPr>
          <w:p w14:paraId="4AC2A0AF" w14:textId="77777777" w:rsidR="009301CC" w:rsidRDefault="009301CC">
            <w:pPr>
              <w:widowControl w:val="0"/>
              <w:spacing w:after="0" w:line="240" w:lineRule="auto"/>
            </w:pPr>
          </w:p>
        </w:tc>
      </w:tr>
      <w:tr w:rsidR="009301CC" w14:paraId="06EDC6AC" w14:textId="77777777">
        <w:tc>
          <w:tcPr>
            <w:tcW w:w="1635" w:type="dxa"/>
            <w:shd w:val="clear" w:color="auto" w:fill="auto"/>
            <w:tcMar>
              <w:top w:w="100" w:type="dxa"/>
              <w:left w:w="100" w:type="dxa"/>
              <w:bottom w:w="100" w:type="dxa"/>
              <w:right w:w="100" w:type="dxa"/>
            </w:tcMar>
          </w:tcPr>
          <w:p w14:paraId="0AE77A77"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6D51D370" w14:textId="77777777" w:rsidR="009301CC" w:rsidRDefault="00000000">
            <w:pPr>
              <w:spacing w:after="0" w:line="240" w:lineRule="auto"/>
            </w:pPr>
            <w:r>
              <w:t>Malabo Convention</w:t>
            </w:r>
          </w:p>
        </w:tc>
        <w:tc>
          <w:tcPr>
            <w:tcW w:w="6030" w:type="dxa"/>
            <w:shd w:val="clear" w:color="auto" w:fill="auto"/>
            <w:tcMar>
              <w:top w:w="100" w:type="dxa"/>
              <w:left w:w="100" w:type="dxa"/>
              <w:bottom w:w="100" w:type="dxa"/>
              <w:right w:w="100" w:type="dxa"/>
            </w:tcMar>
          </w:tcPr>
          <w:p w14:paraId="77294FF8" w14:textId="77777777" w:rsidR="009301CC" w:rsidRDefault="009301CC">
            <w:pPr>
              <w:widowControl w:val="0"/>
              <w:spacing w:after="240" w:line="240" w:lineRule="auto"/>
              <w:ind w:left="360"/>
            </w:pPr>
          </w:p>
        </w:tc>
      </w:tr>
      <w:tr w:rsidR="009301CC" w14:paraId="49BB8DFD" w14:textId="77777777">
        <w:tc>
          <w:tcPr>
            <w:tcW w:w="1635" w:type="dxa"/>
            <w:shd w:val="clear" w:color="auto" w:fill="auto"/>
            <w:tcMar>
              <w:top w:w="100" w:type="dxa"/>
              <w:left w:w="100" w:type="dxa"/>
              <w:bottom w:w="100" w:type="dxa"/>
              <w:right w:w="100" w:type="dxa"/>
            </w:tcMar>
          </w:tcPr>
          <w:p w14:paraId="6AEB6569"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639E5E6F" w14:textId="77777777" w:rsidR="009301CC" w:rsidRDefault="00000000">
            <w:pPr>
              <w:spacing w:after="0" w:line="240" w:lineRule="auto"/>
            </w:pPr>
            <w:r>
              <w:t>ACHPR Declaration of Principles on Freedom of Expression and Access to Information in Africa, 2019</w:t>
            </w:r>
          </w:p>
          <w:p w14:paraId="4D99BABD" w14:textId="77777777" w:rsidR="009301CC" w:rsidRDefault="009301CC">
            <w:pPr>
              <w:spacing w:after="0" w:line="240" w:lineRule="auto"/>
            </w:pPr>
          </w:p>
        </w:tc>
        <w:tc>
          <w:tcPr>
            <w:tcW w:w="6030" w:type="dxa"/>
            <w:shd w:val="clear" w:color="auto" w:fill="auto"/>
            <w:tcMar>
              <w:top w:w="100" w:type="dxa"/>
              <w:left w:w="100" w:type="dxa"/>
              <w:bottom w:w="100" w:type="dxa"/>
              <w:right w:w="100" w:type="dxa"/>
            </w:tcMar>
          </w:tcPr>
          <w:p w14:paraId="1D9DCC83" w14:textId="77777777" w:rsidR="009301CC" w:rsidRDefault="009301CC">
            <w:pPr>
              <w:widowControl w:val="0"/>
              <w:spacing w:after="240" w:line="240" w:lineRule="auto"/>
            </w:pPr>
          </w:p>
        </w:tc>
      </w:tr>
      <w:tr w:rsidR="009301CC" w14:paraId="7DFE3101" w14:textId="77777777">
        <w:tc>
          <w:tcPr>
            <w:tcW w:w="1635" w:type="dxa"/>
            <w:shd w:val="clear" w:color="auto" w:fill="auto"/>
            <w:tcMar>
              <w:top w:w="100" w:type="dxa"/>
              <w:left w:w="100" w:type="dxa"/>
              <w:bottom w:w="100" w:type="dxa"/>
              <w:right w:w="100" w:type="dxa"/>
            </w:tcMar>
          </w:tcPr>
          <w:p w14:paraId="3B42F8EE"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13548A05" w14:textId="77777777" w:rsidR="009301CC" w:rsidRDefault="00000000">
            <w:pPr>
              <w:spacing w:after="0" w:line="240" w:lineRule="auto"/>
            </w:pPr>
            <w:r>
              <w:t>ACHPR Guidelines on Access to Information and Elections in Africa, 2017</w:t>
            </w:r>
          </w:p>
        </w:tc>
        <w:tc>
          <w:tcPr>
            <w:tcW w:w="6030" w:type="dxa"/>
            <w:shd w:val="clear" w:color="auto" w:fill="auto"/>
            <w:tcMar>
              <w:top w:w="100" w:type="dxa"/>
              <w:left w:w="100" w:type="dxa"/>
              <w:bottom w:w="100" w:type="dxa"/>
              <w:right w:w="100" w:type="dxa"/>
            </w:tcMar>
          </w:tcPr>
          <w:p w14:paraId="2D3FA734" w14:textId="77777777" w:rsidR="009301CC" w:rsidRDefault="009301CC">
            <w:pPr>
              <w:widowControl w:val="0"/>
              <w:spacing w:after="240" w:line="240" w:lineRule="auto"/>
            </w:pPr>
          </w:p>
        </w:tc>
      </w:tr>
      <w:tr w:rsidR="009301CC" w14:paraId="43CC7A59" w14:textId="77777777">
        <w:tc>
          <w:tcPr>
            <w:tcW w:w="1635" w:type="dxa"/>
            <w:shd w:val="clear" w:color="auto" w:fill="auto"/>
            <w:tcMar>
              <w:top w:w="100" w:type="dxa"/>
              <w:left w:w="100" w:type="dxa"/>
              <w:bottom w:w="100" w:type="dxa"/>
              <w:right w:w="100" w:type="dxa"/>
            </w:tcMar>
          </w:tcPr>
          <w:p w14:paraId="1BAAFFA2"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0A1D9E88" w14:textId="77777777" w:rsidR="009301CC" w:rsidRDefault="00000000">
            <w:pPr>
              <w:widowControl w:val="0"/>
              <w:spacing w:after="0" w:line="240" w:lineRule="auto"/>
            </w:pPr>
            <w:r>
              <w:t>The practical application of the Guiding Principles on</w:t>
            </w:r>
          </w:p>
          <w:p w14:paraId="2D576F1F" w14:textId="77777777" w:rsidR="009301CC" w:rsidRDefault="00000000">
            <w:pPr>
              <w:widowControl w:val="0"/>
              <w:spacing w:after="0" w:line="240" w:lineRule="auto"/>
            </w:pPr>
            <w:r>
              <w:t>Business and Human Rights to the activities of technology</w:t>
            </w:r>
          </w:p>
          <w:p w14:paraId="0E4EB615" w14:textId="77777777" w:rsidR="009301CC" w:rsidRDefault="00000000">
            <w:pPr>
              <w:widowControl w:val="0"/>
              <w:spacing w:after="0" w:line="240" w:lineRule="auto"/>
            </w:pPr>
            <w:r>
              <w:t>companies</w:t>
            </w:r>
          </w:p>
          <w:p w14:paraId="7CABF17B" w14:textId="77777777" w:rsidR="009301CC" w:rsidRDefault="00000000">
            <w:pPr>
              <w:widowControl w:val="0"/>
              <w:spacing w:after="0" w:line="240" w:lineRule="auto"/>
            </w:pPr>
            <w:r>
              <w:t>(</w:t>
            </w:r>
            <w:hyperlink r:id="rId17">
              <w:r>
                <w:rPr>
                  <w:color w:val="1155CC"/>
                  <w:u w:val="single"/>
                </w:rPr>
                <w:t>A/HRC/50/56</w:t>
              </w:r>
            </w:hyperlink>
            <w:r>
              <w:t>)</w:t>
            </w:r>
          </w:p>
        </w:tc>
        <w:tc>
          <w:tcPr>
            <w:tcW w:w="6030" w:type="dxa"/>
            <w:shd w:val="clear" w:color="auto" w:fill="auto"/>
            <w:tcMar>
              <w:top w:w="100" w:type="dxa"/>
              <w:left w:w="100" w:type="dxa"/>
              <w:bottom w:w="100" w:type="dxa"/>
              <w:right w:w="100" w:type="dxa"/>
            </w:tcMar>
          </w:tcPr>
          <w:p w14:paraId="6B5C022D" w14:textId="77777777" w:rsidR="009301CC" w:rsidRDefault="009301CC">
            <w:pPr>
              <w:widowControl w:val="0"/>
              <w:spacing w:before="240" w:after="240" w:line="240" w:lineRule="auto"/>
              <w:rPr>
                <w:b/>
                <w:sz w:val="24"/>
                <w:szCs w:val="24"/>
              </w:rPr>
            </w:pPr>
          </w:p>
        </w:tc>
      </w:tr>
      <w:tr w:rsidR="009301CC" w14:paraId="3C56A4B4" w14:textId="77777777">
        <w:tc>
          <w:tcPr>
            <w:tcW w:w="1635" w:type="dxa"/>
            <w:shd w:val="clear" w:color="auto" w:fill="auto"/>
            <w:tcMar>
              <w:top w:w="100" w:type="dxa"/>
              <w:left w:w="100" w:type="dxa"/>
              <w:bottom w:w="100" w:type="dxa"/>
              <w:right w:w="100" w:type="dxa"/>
            </w:tcMar>
          </w:tcPr>
          <w:p w14:paraId="167E87DE"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0F2F19D5" w14:textId="77777777" w:rsidR="009301CC" w:rsidRDefault="00000000">
            <w:pPr>
              <w:widowControl w:val="0"/>
              <w:pBdr>
                <w:top w:val="nil"/>
                <w:left w:val="nil"/>
                <w:bottom w:val="nil"/>
                <w:right w:val="nil"/>
                <w:between w:val="nil"/>
              </w:pBdr>
              <w:spacing w:after="0" w:line="240" w:lineRule="auto"/>
            </w:pPr>
            <w:r>
              <w:t>UN Guiding Principles on</w:t>
            </w:r>
          </w:p>
          <w:p w14:paraId="1CFEAD1D" w14:textId="77777777" w:rsidR="009301CC" w:rsidRDefault="00000000">
            <w:pPr>
              <w:widowControl w:val="0"/>
              <w:pBdr>
                <w:top w:val="nil"/>
                <w:left w:val="nil"/>
                <w:bottom w:val="nil"/>
                <w:right w:val="nil"/>
                <w:between w:val="nil"/>
              </w:pBdr>
              <w:spacing w:after="0" w:line="240" w:lineRule="auto"/>
            </w:pPr>
            <w:r>
              <w:t>Business and Human Rights</w:t>
            </w:r>
          </w:p>
        </w:tc>
        <w:tc>
          <w:tcPr>
            <w:tcW w:w="6030" w:type="dxa"/>
            <w:shd w:val="clear" w:color="auto" w:fill="auto"/>
            <w:tcMar>
              <w:top w:w="100" w:type="dxa"/>
              <w:left w:w="100" w:type="dxa"/>
              <w:bottom w:w="100" w:type="dxa"/>
              <w:right w:w="100" w:type="dxa"/>
            </w:tcMar>
          </w:tcPr>
          <w:p w14:paraId="7143F5DE" w14:textId="77777777" w:rsidR="009301CC" w:rsidRDefault="00000000">
            <w:pPr>
              <w:widowControl w:val="0"/>
              <w:shd w:val="clear" w:color="auto" w:fill="FFFFFF"/>
              <w:spacing w:before="240" w:after="240" w:line="240" w:lineRule="auto"/>
              <w:jc w:val="both"/>
              <w:rPr>
                <w:sz w:val="20"/>
                <w:szCs w:val="20"/>
              </w:rPr>
            </w:pPr>
            <w:r>
              <w:rPr>
                <w:sz w:val="20"/>
                <w:szCs w:val="20"/>
              </w:rPr>
              <w:t xml:space="preserve"> </w:t>
            </w:r>
          </w:p>
          <w:p w14:paraId="573C38AA" w14:textId="77777777" w:rsidR="009301CC" w:rsidRDefault="009301CC">
            <w:pPr>
              <w:widowControl w:val="0"/>
              <w:spacing w:after="240" w:line="240" w:lineRule="auto"/>
              <w:ind w:left="360"/>
            </w:pPr>
          </w:p>
        </w:tc>
      </w:tr>
      <w:tr w:rsidR="009301CC" w14:paraId="77F38FA8" w14:textId="77777777">
        <w:tc>
          <w:tcPr>
            <w:tcW w:w="1635" w:type="dxa"/>
            <w:shd w:val="clear" w:color="auto" w:fill="auto"/>
            <w:tcMar>
              <w:top w:w="100" w:type="dxa"/>
              <w:left w:w="100" w:type="dxa"/>
              <w:bottom w:w="100" w:type="dxa"/>
              <w:right w:w="100" w:type="dxa"/>
            </w:tcMar>
          </w:tcPr>
          <w:p w14:paraId="62F96A26"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156A2F11" w14:textId="77777777" w:rsidR="009301CC" w:rsidRDefault="00000000">
            <w:pPr>
              <w:widowControl w:val="0"/>
              <w:pBdr>
                <w:top w:val="nil"/>
                <w:left w:val="nil"/>
                <w:bottom w:val="nil"/>
                <w:right w:val="nil"/>
                <w:between w:val="nil"/>
              </w:pBdr>
              <w:spacing w:after="0" w:line="240" w:lineRule="auto"/>
            </w:pPr>
            <w:r>
              <w:t>UNESCO African declarations at WPFD conference</w:t>
            </w:r>
          </w:p>
        </w:tc>
        <w:tc>
          <w:tcPr>
            <w:tcW w:w="6030" w:type="dxa"/>
            <w:shd w:val="clear" w:color="auto" w:fill="auto"/>
            <w:tcMar>
              <w:top w:w="100" w:type="dxa"/>
              <w:left w:w="100" w:type="dxa"/>
              <w:bottom w:w="100" w:type="dxa"/>
              <w:right w:w="100" w:type="dxa"/>
            </w:tcMar>
          </w:tcPr>
          <w:p w14:paraId="259C4AF0" w14:textId="77777777" w:rsidR="009301CC" w:rsidRDefault="009301CC">
            <w:pPr>
              <w:widowControl w:val="0"/>
              <w:spacing w:after="240" w:line="240" w:lineRule="auto"/>
              <w:ind w:left="360"/>
            </w:pPr>
          </w:p>
        </w:tc>
      </w:tr>
      <w:tr w:rsidR="009301CC" w14:paraId="4BB10607" w14:textId="77777777">
        <w:tc>
          <w:tcPr>
            <w:tcW w:w="1635" w:type="dxa"/>
            <w:shd w:val="clear" w:color="auto" w:fill="auto"/>
            <w:tcMar>
              <w:top w:w="100" w:type="dxa"/>
              <w:left w:w="100" w:type="dxa"/>
              <w:bottom w:w="100" w:type="dxa"/>
              <w:right w:w="100" w:type="dxa"/>
            </w:tcMar>
          </w:tcPr>
          <w:p w14:paraId="55DB2241"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52BE0C20" w14:textId="77777777" w:rsidR="009301CC" w:rsidRDefault="00000000">
            <w:pPr>
              <w:widowControl w:val="0"/>
              <w:pBdr>
                <w:top w:val="nil"/>
                <w:left w:val="nil"/>
                <w:bottom w:val="nil"/>
                <w:right w:val="nil"/>
                <w:between w:val="nil"/>
              </w:pBdr>
              <w:spacing w:after="0" w:line="240" w:lineRule="auto"/>
            </w:pPr>
            <w:r>
              <w:t xml:space="preserve">Other instruments </w:t>
            </w:r>
            <w:r>
              <w:lastRenderedPageBreak/>
              <w:t>to be added….</w:t>
            </w:r>
          </w:p>
        </w:tc>
        <w:tc>
          <w:tcPr>
            <w:tcW w:w="6030" w:type="dxa"/>
            <w:shd w:val="clear" w:color="auto" w:fill="auto"/>
            <w:tcMar>
              <w:top w:w="100" w:type="dxa"/>
              <w:left w:w="100" w:type="dxa"/>
              <w:bottom w:w="100" w:type="dxa"/>
              <w:right w:w="100" w:type="dxa"/>
            </w:tcMar>
          </w:tcPr>
          <w:p w14:paraId="5FE412C5" w14:textId="77777777" w:rsidR="009301CC" w:rsidRDefault="009301CC">
            <w:pPr>
              <w:widowControl w:val="0"/>
              <w:spacing w:after="240" w:line="240" w:lineRule="auto"/>
              <w:ind w:left="360"/>
            </w:pPr>
          </w:p>
        </w:tc>
      </w:tr>
      <w:tr w:rsidR="009301CC" w14:paraId="19BD0E68" w14:textId="77777777">
        <w:tc>
          <w:tcPr>
            <w:tcW w:w="1635" w:type="dxa"/>
            <w:shd w:val="clear" w:color="auto" w:fill="auto"/>
            <w:tcMar>
              <w:top w:w="100" w:type="dxa"/>
              <w:left w:w="100" w:type="dxa"/>
              <w:bottom w:w="100" w:type="dxa"/>
              <w:right w:w="100" w:type="dxa"/>
            </w:tcMar>
          </w:tcPr>
          <w:p w14:paraId="61411B0D" w14:textId="77777777" w:rsidR="009301CC" w:rsidRDefault="00000000">
            <w:pPr>
              <w:widowControl w:val="0"/>
              <w:pBdr>
                <w:top w:val="nil"/>
                <w:left w:val="nil"/>
                <w:bottom w:val="nil"/>
                <w:right w:val="nil"/>
                <w:between w:val="nil"/>
              </w:pBdr>
              <w:spacing w:after="0" w:line="240" w:lineRule="auto"/>
              <w:rPr>
                <w:shd w:val="clear" w:color="auto" w:fill="E6B8AF"/>
              </w:rPr>
            </w:pPr>
            <w:r>
              <w:rPr>
                <w:shd w:val="clear" w:color="auto" w:fill="E6B8AF"/>
              </w:rPr>
              <w:t>Action 2</w:t>
            </w:r>
          </w:p>
          <w:p w14:paraId="19B799C4" w14:textId="77777777" w:rsidR="009301CC" w:rsidRDefault="00000000">
            <w:pPr>
              <w:widowControl w:val="0"/>
              <w:pBdr>
                <w:top w:val="nil"/>
                <w:left w:val="nil"/>
                <w:bottom w:val="nil"/>
                <w:right w:val="nil"/>
                <w:between w:val="nil"/>
              </w:pBdr>
              <w:spacing w:after="0" w:line="240" w:lineRule="auto"/>
            </w:pPr>
            <w:r>
              <w:rPr>
                <w:shd w:val="clear" w:color="auto" w:fill="E6B8AF"/>
              </w:rPr>
              <w:t>as per above</w:t>
            </w:r>
          </w:p>
        </w:tc>
        <w:tc>
          <w:tcPr>
            <w:tcW w:w="1380" w:type="dxa"/>
            <w:shd w:val="clear" w:color="auto" w:fill="auto"/>
            <w:tcMar>
              <w:top w:w="100" w:type="dxa"/>
              <w:left w:w="100" w:type="dxa"/>
              <w:bottom w:w="100" w:type="dxa"/>
              <w:right w:w="100" w:type="dxa"/>
            </w:tcMar>
          </w:tcPr>
          <w:p w14:paraId="3392B817" w14:textId="77777777" w:rsidR="009301CC" w:rsidRDefault="009301CC">
            <w:pPr>
              <w:widowControl w:val="0"/>
              <w:pBdr>
                <w:top w:val="nil"/>
                <w:left w:val="nil"/>
                <w:bottom w:val="nil"/>
                <w:right w:val="nil"/>
                <w:between w:val="nil"/>
              </w:pBdr>
              <w:spacing w:after="0" w:line="240" w:lineRule="auto"/>
            </w:pPr>
          </w:p>
        </w:tc>
        <w:tc>
          <w:tcPr>
            <w:tcW w:w="6030" w:type="dxa"/>
            <w:shd w:val="clear" w:color="auto" w:fill="auto"/>
            <w:tcMar>
              <w:top w:w="100" w:type="dxa"/>
              <w:left w:w="100" w:type="dxa"/>
              <w:bottom w:w="100" w:type="dxa"/>
              <w:right w:w="100" w:type="dxa"/>
            </w:tcMar>
          </w:tcPr>
          <w:p w14:paraId="1EAD1390" w14:textId="77777777" w:rsidR="009301CC" w:rsidRDefault="00000000">
            <w:pPr>
              <w:widowControl w:val="0"/>
              <w:spacing w:after="0" w:line="240" w:lineRule="auto"/>
            </w:pPr>
            <w:r>
              <w:t xml:space="preserve"> </w:t>
            </w:r>
          </w:p>
          <w:p w14:paraId="70D4408B" w14:textId="77777777" w:rsidR="009301CC" w:rsidRDefault="009301CC">
            <w:pPr>
              <w:widowControl w:val="0"/>
              <w:spacing w:after="0" w:line="240" w:lineRule="auto"/>
            </w:pPr>
          </w:p>
        </w:tc>
      </w:tr>
      <w:tr w:rsidR="009301CC" w14:paraId="456BDF0B" w14:textId="77777777">
        <w:tc>
          <w:tcPr>
            <w:tcW w:w="1635" w:type="dxa"/>
            <w:shd w:val="clear" w:color="auto" w:fill="auto"/>
            <w:tcMar>
              <w:top w:w="100" w:type="dxa"/>
              <w:left w:w="100" w:type="dxa"/>
              <w:bottom w:w="100" w:type="dxa"/>
              <w:right w:w="100" w:type="dxa"/>
            </w:tcMar>
          </w:tcPr>
          <w:p w14:paraId="04DE73A4" w14:textId="77777777" w:rsidR="009301CC" w:rsidRDefault="009301CC">
            <w:pPr>
              <w:widowControl w:val="0"/>
              <w:pBdr>
                <w:top w:val="nil"/>
                <w:left w:val="nil"/>
                <w:bottom w:val="nil"/>
                <w:right w:val="nil"/>
                <w:between w:val="nil"/>
              </w:pBdr>
              <w:spacing w:after="0" w:line="240" w:lineRule="auto"/>
              <w:rPr>
                <w:shd w:val="clear" w:color="auto" w:fill="E6B8AF"/>
              </w:rPr>
            </w:pPr>
          </w:p>
        </w:tc>
        <w:tc>
          <w:tcPr>
            <w:tcW w:w="1380" w:type="dxa"/>
            <w:shd w:val="clear" w:color="auto" w:fill="auto"/>
            <w:tcMar>
              <w:top w:w="100" w:type="dxa"/>
              <w:left w:w="100" w:type="dxa"/>
              <w:bottom w:w="100" w:type="dxa"/>
              <w:right w:w="100" w:type="dxa"/>
            </w:tcMar>
          </w:tcPr>
          <w:p w14:paraId="65071578" w14:textId="77777777" w:rsidR="009301CC" w:rsidRDefault="00000000">
            <w:pPr>
              <w:spacing w:after="0" w:line="240" w:lineRule="auto"/>
            </w:pPr>
            <w:r>
              <w:t>ACHPR Declaration of Principles on Freedom of Expression and Access to Information in Africa, 2019</w:t>
            </w:r>
          </w:p>
        </w:tc>
        <w:tc>
          <w:tcPr>
            <w:tcW w:w="6030" w:type="dxa"/>
            <w:shd w:val="clear" w:color="auto" w:fill="auto"/>
            <w:tcMar>
              <w:top w:w="100" w:type="dxa"/>
              <w:left w:w="100" w:type="dxa"/>
              <w:bottom w:w="100" w:type="dxa"/>
              <w:right w:w="100" w:type="dxa"/>
            </w:tcMar>
          </w:tcPr>
          <w:p w14:paraId="5BCF93F4" w14:textId="77777777" w:rsidR="009301CC" w:rsidRDefault="009301CC">
            <w:pPr>
              <w:widowControl w:val="0"/>
              <w:spacing w:after="0" w:line="240" w:lineRule="auto"/>
            </w:pPr>
          </w:p>
        </w:tc>
      </w:tr>
      <w:tr w:rsidR="009301CC" w14:paraId="533B16E7" w14:textId="77777777">
        <w:tc>
          <w:tcPr>
            <w:tcW w:w="1635" w:type="dxa"/>
            <w:shd w:val="clear" w:color="auto" w:fill="auto"/>
            <w:tcMar>
              <w:top w:w="100" w:type="dxa"/>
              <w:left w:w="100" w:type="dxa"/>
              <w:bottom w:w="100" w:type="dxa"/>
              <w:right w:w="100" w:type="dxa"/>
            </w:tcMar>
          </w:tcPr>
          <w:p w14:paraId="565875F2" w14:textId="77777777" w:rsidR="009301CC" w:rsidRDefault="009301CC">
            <w:pPr>
              <w:widowControl w:val="0"/>
              <w:pBdr>
                <w:top w:val="nil"/>
                <w:left w:val="nil"/>
                <w:bottom w:val="nil"/>
                <w:right w:val="nil"/>
                <w:between w:val="nil"/>
              </w:pBdr>
              <w:spacing w:after="0" w:line="240" w:lineRule="auto"/>
              <w:rPr>
                <w:shd w:val="clear" w:color="auto" w:fill="E6B8AF"/>
              </w:rPr>
            </w:pPr>
          </w:p>
        </w:tc>
        <w:tc>
          <w:tcPr>
            <w:tcW w:w="1380" w:type="dxa"/>
            <w:shd w:val="clear" w:color="auto" w:fill="auto"/>
            <w:tcMar>
              <w:top w:w="100" w:type="dxa"/>
              <w:left w:w="100" w:type="dxa"/>
              <w:bottom w:w="100" w:type="dxa"/>
              <w:right w:w="100" w:type="dxa"/>
            </w:tcMar>
          </w:tcPr>
          <w:p w14:paraId="1AB1B3A9" w14:textId="77777777" w:rsidR="009301CC" w:rsidRDefault="00000000">
            <w:pPr>
              <w:spacing w:after="0" w:line="240" w:lineRule="auto"/>
            </w:pPr>
            <w:r>
              <w:t>ACHPR Guidelines on Access to Information and Elections in Africa, 2017</w:t>
            </w:r>
          </w:p>
        </w:tc>
        <w:tc>
          <w:tcPr>
            <w:tcW w:w="6030" w:type="dxa"/>
            <w:shd w:val="clear" w:color="auto" w:fill="auto"/>
            <w:tcMar>
              <w:top w:w="100" w:type="dxa"/>
              <w:left w:w="100" w:type="dxa"/>
              <w:bottom w:w="100" w:type="dxa"/>
              <w:right w:w="100" w:type="dxa"/>
            </w:tcMar>
          </w:tcPr>
          <w:p w14:paraId="2E461FB4" w14:textId="77777777" w:rsidR="009301CC" w:rsidRDefault="009301CC">
            <w:pPr>
              <w:widowControl w:val="0"/>
              <w:spacing w:after="0" w:line="240" w:lineRule="auto"/>
            </w:pPr>
          </w:p>
        </w:tc>
      </w:tr>
      <w:tr w:rsidR="009301CC" w14:paraId="020AC444" w14:textId="77777777">
        <w:tc>
          <w:tcPr>
            <w:tcW w:w="1635" w:type="dxa"/>
            <w:shd w:val="clear" w:color="auto" w:fill="auto"/>
            <w:tcMar>
              <w:top w:w="100" w:type="dxa"/>
              <w:left w:w="100" w:type="dxa"/>
              <w:bottom w:w="100" w:type="dxa"/>
              <w:right w:w="100" w:type="dxa"/>
            </w:tcMar>
          </w:tcPr>
          <w:p w14:paraId="1CEA85F2"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6C214936" w14:textId="77777777" w:rsidR="009301CC" w:rsidRDefault="00000000">
            <w:pPr>
              <w:widowControl w:val="0"/>
              <w:pBdr>
                <w:top w:val="nil"/>
                <w:left w:val="nil"/>
                <w:bottom w:val="nil"/>
                <w:right w:val="nil"/>
                <w:between w:val="nil"/>
              </w:pBdr>
              <w:spacing w:after="0" w:line="240" w:lineRule="auto"/>
            </w:pPr>
            <w:r>
              <w:t xml:space="preserve">Other instruments … </w:t>
            </w:r>
          </w:p>
        </w:tc>
        <w:tc>
          <w:tcPr>
            <w:tcW w:w="6030" w:type="dxa"/>
            <w:shd w:val="clear" w:color="auto" w:fill="auto"/>
            <w:tcMar>
              <w:top w:w="100" w:type="dxa"/>
              <w:left w:w="100" w:type="dxa"/>
              <w:bottom w:w="100" w:type="dxa"/>
              <w:right w:w="100" w:type="dxa"/>
            </w:tcMar>
          </w:tcPr>
          <w:p w14:paraId="54029494" w14:textId="77777777" w:rsidR="009301CC" w:rsidRDefault="009301CC">
            <w:pPr>
              <w:widowControl w:val="0"/>
              <w:spacing w:after="0" w:line="240" w:lineRule="auto"/>
            </w:pPr>
          </w:p>
        </w:tc>
      </w:tr>
      <w:tr w:rsidR="009301CC" w14:paraId="65CFEB60" w14:textId="77777777">
        <w:tc>
          <w:tcPr>
            <w:tcW w:w="1635" w:type="dxa"/>
            <w:shd w:val="clear" w:color="auto" w:fill="auto"/>
            <w:tcMar>
              <w:top w:w="100" w:type="dxa"/>
              <w:left w:w="100" w:type="dxa"/>
              <w:bottom w:w="100" w:type="dxa"/>
              <w:right w:w="100" w:type="dxa"/>
            </w:tcMar>
          </w:tcPr>
          <w:p w14:paraId="721817A7"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21504F4B" w14:textId="77777777" w:rsidR="009301CC" w:rsidRDefault="00000000">
            <w:pPr>
              <w:widowControl w:val="0"/>
              <w:spacing w:after="0" w:line="240" w:lineRule="auto"/>
            </w:pPr>
            <w:r>
              <w:t>Addis Ababa Declaration</w:t>
            </w:r>
          </w:p>
        </w:tc>
        <w:tc>
          <w:tcPr>
            <w:tcW w:w="6030" w:type="dxa"/>
            <w:shd w:val="clear" w:color="auto" w:fill="auto"/>
            <w:tcMar>
              <w:top w:w="100" w:type="dxa"/>
              <w:left w:w="100" w:type="dxa"/>
              <w:bottom w:w="100" w:type="dxa"/>
              <w:right w:w="100" w:type="dxa"/>
            </w:tcMar>
          </w:tcPr>
          <w:p w14:paraId="20FEB0C3" w14:textId="77777777" w:rsidR="009301CC" w:rsidRDefault="009301CC">
            <w:pPr>
              <w:widowControl w:val="0"/>
              <w:spacing w:after="0" w:line="240" w:lineRule="auto"/>
            </w:pPr>
          </w:p>
        </w:tc>
      </w:tr>
      <w:tr w:rsidR="009301CC" w14:paraId="5F9A9CBC" w14:textId="77777777">
        <w:tc>
          <w:tcPr>
            <w:tcW w:w="1635" w:type="dxa"/>
            <w:shd w:val="clear" w:color="auto" w:fill="auto"/>
            <w:tcMar>
              <w:top w:w="100" w:type="dxa"/>
              <w:left w:w="100" w:type="dxa"/>
              <w:bottom w:w="100" w:type="dxa"/>
              <w:right w:w="100" w:type="dxa"/>
            </w:tcMar>
          </w:tcPr>
          <w:p w14:paraId="7485A71A" w14:textId="77777777" w:rsidR="009301CC" w:rsidRDefault="00000000">
            <w:pPr>
              <w:widowControl w:val="0"/>
              <w:pBdr>
                <w:top w:val="nil"/>
                <w:left w:val="nil"/>
                <w:bottom w:val="nil"/>
                <w:right w:val="nil"/>
                <w:between w:val="nil"/>
              </w:pBdr>
              <w:spacing w:after="0" w:line="240" w:lineRule="auto"/>
              <w:rPr>
                <w:shd w:val="clear" w:color="auto" w:fill="E6B8AF"/>
              </w:rPr>
            </w:pPr>
            <w:r>
              <w:rPr>
                <w:shd w:val="clear" w:color="auto" w:fill="E6B8AF"/>
              </w:rPr>
              <w:t>Action 3: Communicate</w:t>
            </w:r>
          </w:p>
        </w:tc>
        <w:tc>
          <w:tcPr>
            <w:tcW w:w="1380" w:type="dxa"/>
            <w:shd w:val="clear" w:color="auto" w:fill="auto"/>
            <w:tcMar>
              <w:top w:w="100" w:type="dxa"/>
              <w:left w:w="100" w:type="dxa"/>
              <w:bottom w:w="100" w:type="dxa"/>
              <w:right w:w="100" w:type="dxa"/>
            </w:tcMar>
          </w:tcPr>
          <w:p w14:paraId="4668797F" w14:textId="77777777" w:rsidR="009301CC" w:rsidRDefault="009301CC">
            <w:pPr>
              <w:widowControl w:val="0"/>
              <w:spacing w:after="0" w:line="240" w:lineRule="auto"/>
            </w:pPr>
          </w:p>
        </w:tc>
        <w:tc>
          <w:tcPr>
            <w:tcW w:w="6030" w:type="dxa"/>
            <w:shd w:val="clear" w:color="auto" w:fill="auto"/>
            <w:tcMar>
              <w:top w:w="100" w:type="dxa"/>
              <w:left w:w="100" w:type="dxa"/>
              <w:bottom w:w="100" w:type="dxa"/>
              <w:right w:w="100" w:type="dxa"/>
            </w:tcMar>
          </w:tcPr>
          <w:p w14:paraId="3109CA17" w14:textId="77777777" w:rsidR="009301CC" w:rsidRDefault="009301CC">
            <w:pPr>
              <w:widowControl w:val="0"/>
              <w:spacing w:after="0" w:line="240" w:lineRule="auto"/>
            </w:pPr>
          </w:p>
        </w:tc>
      </w:tr>
      <w:tr w:rsidR="009301CC" w14:paraId="708E9E8A" w14:textId="77777777">
        <w:tc>
          <w:tcPr>
            <w:tcW w:w="1635" w:type="dxa"/>
            <w:shd w:val="clear" w:color="auto" w:fill="auto"/>
            <w:tcMar>
              <w:top w:w="100" w:type="dxa"/>
              <w:left w:w="100" w:type="dxa"/>
              <w:bottom w:w="100" w:type="dxa"/>
              <w:right w:w="100" w:type="dxa"/>
            </w:tcMar>
          </w:tcPr>
          <w:p w14:paraId="497BC3F8" w14:textId="77777777" w:rsidR="009301CC" w:rsidRDefault="009301CC">
            <w:pPr>
              <w:widowControl w:val="0"/>
              <w:pBdr>
                <w:top w:val="nil"/>
                <w:left w:val="nil"/>
                <w:bottom w:val="nil"/>
                <w:right w:val="nil"/>
                <w:between w:val="nil"/>
              </w:pBdr>
              <w:spacing w:after="0" w:line="240" w:lineRule="auto"/>
              <w:rPr>
                <w:shd w:val="clear" w:color="auto" w:fill="E6B8AF"/>
              </w:rPr>
            </w:pPr>
          </w:p>
        </w:tc>
        <w:tc>
          <w:tcPr>
            <w:tcW w:w="1380" w:type="dxa"/>
            <w:shd w:val="clear" w:color="auto" w:fill="auto"/>
            <w:tcMar>
              <w:top w:w="100" w:type="dxa"/>
              <w:left w:w="100" w:type="dxa"/>
              <w:bottom w:w="100" w:type="dxa"/>
              <w:right w:w="100" w:type="dxa"/>
            </w:tcMar>
          </w:tcPr>
          <w:p w14:paraId="2C19DB9C" w14:textId="77777777" w:rsidR="009301CC" w:rsidRDefault="00000000">
            <w:pPr>
              <w:spacing w:after="0" w:line="240" w:lineRule="auto"/>
            </w:pPr>
            <w:r>
              <w:t>Model Law</w:t>
            </w:r>
          </w:p>
        </w:tc>
        <w:tc>
          <w:tcPr>
            <w:tcW w:w="6030" w:type="dxa"/>
            <w:shd w:val="clear" w:color="auto" w:fill="auto"/>
            <w:tcMar>
              <w:top w:w="100" w:type="dxa"/>
              <w:left w:w="100" w:type="dxa"/>
              <w:bottom w:w="100" w:type="dxa"/>
              <w:right w:w="100" w:type="dxa"/>
            </w:tcMar>
          </w:tcPr>
          <w:p w14:paraId="770AB354" w14:textId="77777777" w:rsidR="009301CC" w:rsidRDefault="009301CC">
            <w:pPr>
              <w:widowControl w:val="0"/>
              <w:spacing w:after="0" w:line="240" w:lineRule="auto"/>
            </w:pPr>
          </w:p>
        </w:tc>
      </w:tr>
      <w:tr w:rsidR="009301CC" w14:paraId="03C50506" w14:textId="77777777">
        <w:tc>
          <w:tcPr>
            <w:tcW w:w="1635" w:type="dxa"/>
            <w:shd w:val="clear" w:color="auto" w:fill="auto"/>
            <w:tcMar>
              <w:top w:w="100" w:type="dxa"/>
              <w:left w:w="100" w:type="dxa"/>
              <w:bottom w:w="100" w:type="dxa"/>
              <w:right w:w="100" w:type="dxa"/>
            </w:tcMar>
          </w:tcPr>
          <w:p w14:paraId="2A650C3F" w14:textId="77777777" w:rsidR="009301CC" w:rsidRDefault="009301CC">
            <w:pPr>
              <w:widowControl w:val="0"/>
              <w:pBdr>
                <w:top w:val="nil"/>
                <w:left w:val="nil"/>
                <w:bottom w:val="nil"/>
                <w:right w:val="nil"/>
                <w:between w:val="nil"/>
              </w:pBdr>
              <w:spacing w:after="0" w:line="240" w:lineRule="auto"/>
              <w:rPr>
                <w:shd w:val="clear" w:color="auto" w:fill="E6B8AF"/>
              </w:rPr>
            </w:pPr>
          </w:p>
        </w:tc>
        <w:tc>
          <w:tcPr>
            <w:tcW w:w="1380" w:type="dxa"/>
            <w:shd w:val="clear" w:color="auto" w:fill="auto"/>
            <w:tcMar>
              <w:top w:w="100" w:type="dxa"/>
              <w:left w:w="100" w:type="dxa"/>
              <w:bottom w:w="100" w:type="dxa"/>
              <w:right w:w="100" w:type="dxa"/>
            </w:tcMar>
          </w:tcPr>
          <w:p w14:paraId="019386F6" w14:textId="77777777" w:rsidR="009301CC" w:rsidRDefault="00000000">
            <w:pPr>
              <w:spacing w:after="0" w:line="240" w:lineRule="auto"/>
            </w:pPr>
            <w:r>
              <w:t>ACHPR Declaration of Principles on Freedom of Expression and Access to Information in Africa, 2019</w:t>
            </w:r>
          </w:p>
        </w:tc>
        <w:tc>
          <w:tcPr>
            <w:tcW w:w="6030" w:type="dxa"/>
            <w:shd w:val="clear" w:color="auto" w:fill="auto"/>
            <w:tcMar>
              <w:top w:w="100" w:type="dxa"/>
              <w:left w:w="100" w:type="dxa"/>
              <w:bottom w:w="100" w:type="dxa"/>
              <w:right w:w="100" w:type="dxa"/>
            </w:tcMar>
          </w:tcPr>
          <w:p w14:paraId="13AD3614" w14:textId="77777777" w:rsidR="009301CC" w:rsidRDefault="009301CC">
            <w:pPr>
              <w:widowControl w:val="0"/>
              <w:spacing w:after="0" w:line="240" w:lineRule="auto"/>
            </w:pPr>
          </w:p>
          <w:p w14:paraId="77006545" w14:textId="77777777" w:rsidR="009301CC" w:rsidRDefault="009301CC">
            <w:pPr>
              <w:widowControl w:val="0"/>
              <w:spacing w:after="0" w:line="240" w:lineRule="auto"/>
            </w:pPr>
          </w:p>
          <w:p w14:paraId="653A02C2" w14:textId="77777777" w:rsidR="009301CC" w:rsidRDefault="009301CC">
            <w:pPr>
              <w:widowControl w:val="0"/>
              <w:spacing w:after="0" w:line="240" w:lineRule="auto"/>
            </w:pPr>
          </w:p>
          <w:p w14:paraId="7D88CA47" w14:textId="77777777" w:rsidR="009301CC" w:rsidRDefault="009301CC">
            <w:pPr>
              <w:widowControl w:val="0"/>
              <w:spacing w:after="0" w:line="240" w:lineRule="auto"/>
            </w:pPr>
          </w:p>
        </w:tc>
      </w:tr>
      <w:tr w:rsidR="009301CC" w14:paraId="51657D7D" w14:textId="77777777">
        <w:tc>
          <w:tcPr>
            <w:tcW w:w="1635" w:type="dxa"/>
            <w:shd w:val="clear" w:color="auto" w:fill="auto"/>
            <w:tcMar>
              <w:top w:w="100" w:type="dxa"/>
              <w:left w:w="100" w:type="dxa"/>
              <w:bottom w:w="100" w:type="dxa"/>
              <w:right w:w="100" w:type="dxa"/>
            </w:tcMar>
          </w:tcPr>
          <w:p w14:paraId="385E7B24" w14:textId="77777777" w:rsidR="009301CC" w:rsidRDefault="009301CC">
            <w:pPr>
              <w:widowControl w:val="0"/>
              <w:pBdr>
                <w:top w:val="nil"/>
                <w:left w:val="nil"/>
                <w:bottom w:val="nil"/>
                <w:right w:val="nil"/>
                <w:between w:val="nil"/>
              </w:pBdr>
              <w:spacing w:after="0" w:line="240" w:lineRule="auto"/>
              <w:rPr>
                <w:shd w:val="clear" w:color="auto" w:fill="E6B8AF"/>
              </w:rPr>
            </w:pPr>
          </w:p>
        </w:tc>
        <w:tc>
          <w:tcPr>
            <w:tcW w:w="1380" w:type="dxa"/>
            <w:shd w:val="clear" w:color="auto" w:fill="auto"/>
            <w:tcMar>
              <w:top w:w="100" w:type="dxa"/>
              <w:left w:w="100" w:type="dxa"/>
              <w:bottom w:w="100" w:type="dxa"/>
              <w:right w:w="100" w:type="dxa"/>
            </w:tcMar>
          </w:tcPr>
          <w:p w14:paraId="1BA6E441" w14:textId="77777777" w:rsidR="009301CC" w:rsidRDefault="00000000">
            <w:pPr>
              <w:spacing w:after="0" w:line="240" w:lineRule="auto"/>
            </w:pPr>
            <w:r>
              <w:t xml:space="preserve">ACHPR Guidelines </w:t>
            </w:r>
            <w:r>
              <w:lastRenderedPageBreak/>
              <w:t>on Access to Information and Elections in Africa, 2017</w:t>
            </w:r>
          </w:p>
        </w:tc>
        <w:tc>
          <w:tcPr>
            <w:tcW w:w="6030" w:type="dxa"/>
            <w:shd w:val="clear" w:color="auto" w:fill="auto"/>
            <w:tcMar>
              <w:top w:w="100" w:type="dxa"/>
              <w:left w:w="100" w:type="dxa"/>
              <w:bottom w:w="100" w:type="dxa"/>
              <w:right w:w="100" w:type="dxa"/>
            </w:tcMar>
          </w:tcPr>
          <w:p w14:paraId="6C8F52B9" w14:textId="77777777" w:rsidR="009301CC" w:rsidRDefault="009301CC">
            <w:pPr>
              <w:widowControl w:val="0"/>
              <w:spacing w:after="0" w:line="240" w:lineRule="auto"/>
            </w:pPr>
          </w:p>
        </w:tc>
      </w:tr>
      <w:tr w:rsidR="009301CC" w14:paraId="5A116045" w14:textId="77777777">
        <w:trPr>
          <w:trHeight w:val="957"/>
        </w:trPr>
        <w:tc>
          <w:tcPr>
            <w:tcW w:w="1635" w:type="dxa"/>
            <w:shd w:val="clear" w:color="auto" w:fill="auto"/>
            <w:tcMar>
              <w:top w:w="100" w:type="dxa"/>
              <w:left w:w="100" w:type="dxa"/>
              <w:bottom w:w="100" w:type="dxa"/>
              <w:right w:w="100" w:type="dxa"/>
            </w:tcMar>
          </w:tcPr>
          <w:p w14:paraId="3D8C0F09"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412991F4" w14:textId="77777777" w:rsidR="009301CC" w:rsidRDefault="00000000">
            <w:pPr>
              <w:widowControl w:val="0"/>
              <w:spacing w:after="0" w:line="240" w:lineRule="auto"/>
            </w:pPr>
            <w:r>
              <w:t xml:space="preserve">Other instruments </w:t>
            </w:r>
          </w:p>
        </w:tc>
        <w:tc>
          <w:tcPr>
            <w:tcW w:w="6030" w:type="dxa"/>
            <w:shd w:val="clear" w:color="auto" w:fill="auto"/>
            <w:tcMar>
              <w:top w:w="100" w:type="dxa"/>
              <w:left w:w="100" w:type="dxa"/>
              <w:bottom w:w="100" w:type="dxa"/>
              <w:right w:w="100" w:type="dxa"/>
            </w:tcMar>
          </w:tcPr>
          <w:p w14:paraId="72D114A1" w14:textId="77777777" w:rsidR="009301CC" w:rsidRDefault="009301CC">
            <w:pPr>
              <w:widowControl w:val="0"/>
              <w:spacing w:after="0" w:line="240" w:lineRule="auto"/>
            </w:pPr>
          </w:p>
        </w:tc>
      </w:tr>
      <w:tr w:rsidR="009301CC" w14:paraId="2799176F" w14:textId="77777777">
        <w:tc>
          <w:tcPr>
            <w:tcW w:w="1635" w:type="dxa"/>
            <w:shd w:val="clear" w:color="auto" w:fill="auto"/>
            <w:tcMar>
              <w:top w:w="100" w:type="dxa"/>
              <w:left w:w="100" w:type="dxa"/>
              <w:bottom w:w="100" w:type="dxa"/>
              <w:right w:w="100" w:type="dxa"/>
            </w:tcMar>
          </w:tcPr>
          <w:p w14:paraId="67A7139A"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0FA7E14D" w14:textId="77777777" w:rsidR="009301CC" w:rsidRDefault="00000000">
            <w:pPr>
              <w:widowControl w:val="0"/>
              <w:spacing w:after="0" w:line="240" w:lineRule="auto"/>
            </w:pPr>
            <w:r>
              <w:t>UNESCO AFrican declarations on ATI</w:t>
            </w:r>
          </w:p>
        </w:tc>
        <w:tc>
          <w:tcPr>
            <w:tcW w:w="6030" w:type="dxa"/>
            <w:shd w:val="clear" w:color="auto" w:fill="auto"/>
            <w:tcMar>
              <w:top w:w="100" w:type="dxa"/>
              <w:left w:w="100" w:type="dxa"/>
              <w:bottom w:w="100" w:type="dxa"/>
              <w:right w:w="100" w:type="dxa"/>
            </w:tcMar>
          </w:tcPr>
          <w:p w14:paraId="367AFF18" w14:textId="77777777" w:rsidR="009301CC" w:rsidRDefault="009301CC">
            <w:pPr>
              <w:widowControl w:val="0"/>
              <w:spacing w:after="0" w:line="240" w:lineRule="auto"/>
            </w:pPr>
          </w:p>
        </w:tc>
      </w:tr>
      <w:tr w:rsidR="009301CC" w14:paraId="131079AC" w14:textId="77777777">
        <w:tc>
          <w:tcPr>
            <w:tcW w:w="1635" w:type="dxa"/>
            <w:shd w:val="clear" w:color="auto" w:fill="auto"/>
            <w:tcMar>
              <w:top w:w="100" w:type="dxa"/>
              <w:left w:w="100" w:type="dxa"/>
              <w:bottom w:w="100" w:type="dxa"/>
              <w:right w:w="100" w:type="dxa"/>
            </w:tcMar>
          </w:tcPr>
          <w:p w14:paraId="3724BD64" w14:textId="77777777" w:rsidR="009301CC" w:rsidRDefault="009301CC">
            <w:pPr>
              <w:widowControl w:val="0"/>
              <w:pBdr>
                <w:top w:val="nil"/>
                <w:left w:val="nil"/>
                <w:bottom w:val="nil"/>
                <w:right w:val="nil"/>
                <w:between w:val="nil"/>
              </w:pBdr>
              <w:spacing w:after="0" w:line="240" w:lineRule="auto"/>
            </w:pPr>
          </w:p>
        </w:tc>
        <w:tc>
          <w:tcPr>
            <w:tcW w:w="1380" w:type="dxa"/>
            <w:shd w:val="clear" w:color="auto" w:fill="auto"/>
            <w:tcMar>
              <w:top w:w="100" w:type="dxa"/>
              <w:left w:w="100" w:type="dxa"/>
              <w:bottom w:w="100" w:type="dxa"/>
              <w:right w:w="100" w:type="dxa"/>
            </w:tcMar>
          </w:tcPr>
          <w:p w14:paraId="1782646C" w14:textId="77777777" w:rsidR="009301CC" w:rsidRDefault="00000000">
            <w:r>
              <w:t>UNESCO Guidelines for the governance of digital platforms: safeguarding FOE &amp; ATI through a multi-stakeholder approach</w:t>
            </w:r>
          </w:p>
        </w:tc>
        <w:tc>
          <w:tcPr>
            <w:tcW w:w="6030" w:type="dxa"/>
            <w:shd w:val="clear" w:color="auto" w:fill="auto"/>
            <w:tcMar>
              <w:top w:w="100" w:type="dxa"/>
              <w:left w:w="100" w:type="dxa"/>
              <w:bottom w:w="100" w:type="dxa"/>
              <w:right w:w="100" w:type="dxa"/>
            </w:tcMar>
          </w:tcPr>
          <w:p w14:paraId="00533477" w14:textId="77777777" w:rsidR="009301CC" w:rsidRDefault="009301CC">
            <w:pPr>
              <w:widowControl w:val="0"/>
              <w:spacing w:after="0" w:line="240" w:lineRule="auto"/>
            </w:pPr>
          </w:p>
        </w:tc>
      </w:tr>
    </w:tbl>
    <w:p w14:paraId="7A18770D" w14:textId="77777777" w:rsidR="009301CC" w:rsidRDefault="009301CC"/>
    <w:p w14:paraId="179C2571" w14:textId="77777777" w:rsidR="009301CC" w:rsidRDefault="00000000">
      <w:r>
        <w:br w:type="page"/>
      </w:r>
    </w:p>
    <w:p w14:paraId="5C552582" w14:textId="77777777" w:rsidR="009301CC" w:rsidRDefault="009301CC"/>
    <w:p w14:paraId="498CD4AD" w14:textId="77777777" w:rsidR="009301CC" w:rsidRDefault="00000000">
      <w:pPr>
        <w:numPr>
          <w:ilvl w:val="0"/>
          <w:numId w:val="3"/>
        </w:numPr>
        <w:pBdr>
          <w:top w:val="nil"/>
          <w:left w:val="nil"/>
          <w:bottom w:val="nil"/>
          <w:right w:val="nil"/>
          <w:between w:val="nil"/>
        </w:pBdr>
        <w:rPr>
          <w:b/>
          <w:color w:val="000000"/>
        </w:rPr>
      </w:pPr>
      <w:r>
        <w:rPr>
          <w:b/>
        </w:rPr>
        <w:t xml:space="preserve">Implementation Guidance </w:t>
      </w:r>
      <w:r>
        <w:rPr>
          <w:b/>
          <w:color w:val="000000"/>
        </w:rPr>
        <w:t xml:space="preserve">For </w:t>
      </w:r>
      <w:r>
        <w:rPr>
          <w:b/>
        </w:rPr>
        <w:t>Parliamentarians in relation to ATI and ATD</w:t>
      </w:r>
    </w:p>
    <w:p w14:paraId="3AC7D2A1" w14:textId="77777777" w:rsidR="009301CC" w:rsidRDefault="00000000">
      <w:pPr>
        <w:jc w:val="both"/>
        <w:rPr>
          <w:u w:val="single"/>
        </w:rPr>
      </w:pPr>
      <w:r>
        <w:rPr>
          <w:u w:val="single"/>
        </w:rPr>
        <w:t>Purpose and use of this guideline</w:t>
      </w:r>
    </w:p>
    <w:p w14:paraId="1EE845E7" w14:textId="77777777" w:rsidR="009301CC" w:rsidRDefault="00000000">
      <w:pPr>
        <w:jc w:val="both"/>
      </w:pPr>
      <w:r>
        <w:t xml:space="preserve">Data, especially that used by social media,  is increasingly a key driver of processes and outcomes that are relevant to elections. Data sets serve to inform decisions- whether automated by algorithms, or made by humans, and data is also the fuel of machine-learning AI. </w:t>
      </w:r>
    </w:p>
    <w:p w14:paraId="4FCE7979" w14:textId="77777777" w:rsidR="009301CC" w:rsidRDefault="00000000">
      <w:pPr>
        <w:jc w:val="both"/>
      </w:pPr>
      <w:r>
        <w:t>Therefore the focus here is on how parliamentarians can get a greater understanding of the role of data in relation to ATI.  This will enable them to act as needed, such as in designing or revising laws, or in regard to their own practices. It pinpoints the actions needed for this, elaborates on what these entail, and provides the legitimation in a range of agreed pan-African and international standards.</w:t>
      </w:r>
    </w:p>
    <w:p w14:paraId="3F16E688" w14:textId="77777777" w:rsidR="009301CC" w:rsidRDefault="00000000">
      <w:r>
        <w:rPr>
          <w:u w:val="single"/>
        </w:rPr>
        <w:t>Key action points/opportunities</w:t>
      </w:r>
      <w:r>
        <w:t>:</w:t>
      </w:r>
    </w:p>
    <w:p w14:paraId="6C96C57F" w14:textId="77777777" w:rsidR="009301CC" w:rsidRDefault="00000000">
      <w:pPr>
        <w:numPr>
          <w:ilvl w:val="0"/>
          <w:numId w:val="8"/>
        </w:numPr>
        <w:pBdr>
          <w:top w:val="nil"/>
          <w:left w:val="nil"/>
          <w:bottom w:val="nil"/>
          <w:right w:val="nil"/>
          <w:between w:val="nil"/>
        </w:pBdr>
        <w:spacing w:after="0"/>
        <w:jc w:val="both"/>
      </w:pPr>
      <w:r>
        <w:rPr>
          <w:b/>
        </w:rPr>
        <w:t>Assess the terrain of ATI and ATD</w:t>
      </w:r>
      <w:r>
        <w:t>: Hold public hearings on the subject (this is just indicative text)</w:t>
      </w:r>
    </w:p>
    <w:p w14:paraId="6F238E06" w14:textId="77777777" w:rsidR="009301CC" w:rsidRDefault="00000000">
      <w:pPr>
        <w:numPr>
          <w:ilvl w:val="0"/>
          <w:numId w:val="8"/>
        </w:numPr>
        <w:pBdr>
          <w:top w:val="nil"/>
          <w:left w:val="nil"/>
          <w:bottom w:val="nil"/>
          <w:right w:val="nil"/>
          <w:between w:val="nil"/>
        </w:pBdr>
        <w:spacing w:after="0"/>
        <w:jc w:val="both"/>
      </w:pPr>
      <w:r>
        <w:rPr>
          <w:b/>
        </w:rPr>
        <w:t>Anything else</w:t>
      </w:r>
      <w:r>
        <w:t>: to be</w:t>
      </w:r>
    </w:p>
    <w:p w14:paraId="420C63CE" w14:textId="77777777" w:rsidR="009301CC" w:rsidRDefault="00000000">
      <w:pPr>
        <w:numPr>
          <w:ilvl w:val="0"/>
          <w:numId w:val="8"/>
        </w:numPr>
        <w:pBdr>
          <w:top w:val="nil"/>
          <w:left w:val="nil"/>
          <w:bottom w:val="nil"/>
          <w:right w:val="nil"/>
          <w:between w:val="nil"/>
        </w:pBdr>
        <w:jc w:val="both"/>
      </w:pPr>
      <w:r>
        <w:rPr>
          <w:b/>
        </w:rPr>
        <w:t>Anything else again:</w:t>
      </w:r>
      <w:r>
        <w:t xml:space="preserve"> </w:t>
      </w:r>
    </w:p>
    <w:p w14:paraId="705DB7C4" w14:textId="77777777" w:rsidR="009301CC" w:rsidRDefault="00000000">
      <w:pPr>
        <w:jc w:val="both"/>
        <w:rPr>
          <w:u w:val="single"/>
        </w:rPr>
      </w:pPr>
      <w:r>
        <w:rPr>
          <w:u w:val="single"/>
        </w:rPr>
        <w:t>What’s entailed in each Action point:</w:t>
      </w:r>
    </w:p>
    <w:p w14:paraId="565FC38D" w14:textId="77777777" w:rsidR="009301CC" w:rsidRDefault="00000000">
      <w:pPr>
        <w:numPr>
          <w:ilvl w:val="0"/>
          <w:numId w:val="10"/>
        </w:numPr>
        <w:spacing w:after="0"/>
        <w:jc w:val="both"/>
      </w:pPr>
      <w:r>
        <w:t>Assess: tbc (&lt;300 words)</w:t>
      </w:r>
    </w:p>
    <w:p w14:paraId="32DDE10C" w14:textId="77777777" w:rsidR="009301CC" w:rsidRDefault="00000000">
      <w:pPr>
        <w:numPr>
          <w:ilvl w:val="0"/>
          <w:numId w:val="10"/>
        </w:numPr>
        <w:spacing w:after="0"/>
        <w:jc w:val="both"/>
      </w:pPr>
      <w:r>
        <w:t xml:space="preserve"> Next point: tbc</w:t>
      </w:r>
    </w:p>
    <w:p w14:paraId="050F67A0" w14:textId="77777777" w:rsidR="009301CC" w:rsidRDefault="00000000">
      <w:pPr>
        <w:numPr>
          <w:ilvl w:val="0"/>
          <w:numId w:val="10"/>
        </w:numPr>
        <w:jc w:val="both"/>
      </w:pPr>
      <w:r>
        <w:t>Final key point: tbc.</w:t>
      </w:r>
    </w:p>
    <w:p w14:paraId="3B070592" w14:textId="77777777" w:rsidR="009301CC" w:rsidRDefault="00000000">
      <w:r>
        <w:rPr>
          <w:u w:val="single"/>
        </w:rPr>
        <w:t>Underlying foundations</w:t>
      </w:r>
      <w:r>
        <w:t>: (needs updating?)</w:t>
      </w:r>
    </w:p>
    <w:p w14:paraId="176D7E78" w14:textId="77777777" w:rsidR="009301CC" w:rsidRDefault="00000000">
      <w:pPr>
        <w:numPr>
          <w:ilvl w:val="0"/>
          <w:numId w:val="2"/>
        </w:numPr>
        <w:pBdr>
          <w:top w:val="nil"/>
          <w:left w:val="nil"/>
          <w:bottom w:val="nil"/>
          <w:right w:val="nil"/>
          <w:between w:val="nil"/>
        </w:pBdr>
        <w:spacing w:after="0"/>
      </w:pPr>
      <w:hyperlink r:id="rId18">
        <w:r>
          <w:rPr>
            <w:color w:val="0563C1"/>
            <w:u w:val="single"/>
          </w:rPr>
          <w:t>Declaration of principles of freedom of expression and access to information in Africa</w:t>
        </w:r>
      </w:hyperlink>
      <w:r>
        <w:rPr>
          <w:color w:val="000000"/>
        </w:rPr>
        <w:t>.</w:t>
      </w:r>
    </w:p>
    <w:p w14:paraId="5E997F8F" w14:textId="77777777" w:rsidR="009301CC" w:rsidRDefault="00000000">
      <w:pPr>
        <w:numPr>
          <w:ilvl w:val="0"/>
          <w:numId w:val="2"/>
        </w:numPr>
        <w:pBdr>
          <w:top w:val="nil"/>
          <w:left w:val="nil"/>
          <w:bottom w:val="nil"/>
          <w:right w:val="nil"/>
          <w:between w:val="nil"/>
        </w:pBdr>
        <w:spacing w:after="0"/>
      </w:pPr>
      <w:hyperlink r:id="rId19">
        <w:r>
          <w:rPr>
            <w:color w:val="0563C1"/>
            <w:u w:val="single"/>
          </w:rPr>
          <w:t>Guidelines on Access to Information in Times of Elections</w:t>
        </w:r>
      </w:hyperlink>
    </w:p>
    <w:p w14:paraId="41BF731B" w14:textId="77777777" w:rsidR="009301CC" w:rsidRDefault="00000000">
      <w:pPr>
        <w:numPr>
          <w:ilvl w:val="0"/>
          <w:numId w:val="2"/>
        </w:numPr>
        <w:pBdr>
          <w:top w:val="nil"/>
          <w:left w:val="nil"/>
          <w:bottom w:val="nil"/>
          <w:right w:val="nil"/>
          <w:between w:val="nil"/>
        </w:pBdr>
        <w:spacing w:after="0"/>
      </w:pPr>
      <w:r>
        <w:rPr>
          <w:color w:val="000000"/>
        </w:rPr>
        <w:t xml:space="preserve">UN </w:t>
      </w:r>
      <w:hyperlink r:id="rId20">
        <w:r>
          <w:rPr>
            <w:color w:val="0000FF"/>
            <w:u w:val="single"/>
          </w:rPr>
          <w:t>Guiding Principles on Business and Human Rights</w:t>
        </w:r>
      </w:hyperlink>
    </w:p>
    <w:p w14:paraId="68AFAAB3" w14:textId="77777777" w:rsidR="009301CC" w:rsidRDefault="00000000">
      <w:pPr>
        <w:numPr>
          <w:ilvl w:val="0"/>
          <w:numId w:val="2"/>
        </w:numPr>
        <w:pBdr>
          <w:top w:val="nil"/>
          <w:left w:val="nil"/>
          <w:bottom w:val="nil"/>
          <w:right w:val="nil"/>
          <w:between w:val="nil"/>
        </w:pBdr>
      </w:pPr>
      <w:r>
        <w:rPr>
          <w:color w:val="000000"/>
        </w:rPr>
        <w:t xml:space="preserve">UNESCO </w:t>
      </w:r>
      <w:hyperlink r:id="rId21">
        <w:r>
          <w:rPr>
            <w:color w:val="0000FF"/>
            <w:u w:val="single"/>
          </w:rPr>
          <w:t>Guidelines for the governance of digital platforms: safeguarding freedom of expression and access to information through a multi-stakeholder approach</w:t>
        </w:r>
      </w:hyperlink>
    </w:p>
    <w:p w14:paraId="36347157" w14:textId="77777777" w:rsidR="009301CC" w:rsidRDefault="009301CC">
      <w:pPr>
        <w:rPr>
          <w:u w:val="single"/>
        </w:rPr>
      </w:pPr>
    </w:p>
    <w:p w14:paraId="14ECE80E" w14:textId="77777777" w:rsidR="009301CC" w:rsidRDefault="00000000">
      <w:r>
        <w:rPr>
          <w:u w:val="single"/>
        </w:rPr>
        <w:t>Annex</w:t>
      </w:r>
      <w:r>
        <w:t xml:space="preserve">: </w:t>
      </w:r>
    </w:p>
    <w:p w14:paraId="5F8F2592" w14:textId="77777777" w:rsidR="009301CC" w:rsidRDefault="00000000">
      <w:r>
        <w:t>Relevant clauses from the Foundational documents</w:t>
      </w:r>
    </w:p>
    <w:p w14:paraId="11A12CA1" w14:textId="77777777" w:rsidR="009301CC" w:rsidRDefault="009301CC"/>
    <w:tbl>
      <w:tblPr>
        <w:tblStyle w:val="a3"/>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1575"/>
        <w:gridCol w:w="5805"/>
      </w:tblGrid>
      <w:tr w:rsidR="009301CC" w14:paraId="247BF1F4" w14:textId="77777777">
        <w:tc>
          <w:tcPr>
            <w:tcW w:w="1665" w:type="dxa"/>
            <w:shd w:val="clear" w:color="auto" w:fill="auto"/>
            <w:tcMar>
              <w:top w:w="100" w:type="dxa"/>
              <w:left w:w="100" w:type="dxa"/>
              <w:bottom w:w="100" w:type="dxa"/>
              <w:right w:w="100" w:type="dxa"/>
            </w:tcMar>
          </w:tcPr>
          <w:p w14:paraId="6F39E71D" w14:textId="77777777" w:rsidR="009301CC" w:rsidRDefault="00000000">
            <w:pPr>
              <w:widowControl w:val="0"/>
              <w:spacing w:after="0" w:line="240" w:lineRule="auto"/>
            </w:pPr>
            <w:r>
              <w:t xml:space="preserve">Action </w:t>
            </w:r>
          </w:p>
        </w:tc>
        <w:tc>
          <w:tcPr>
            <w:tcW w:w="1575" w:type="dxa"/>
            <w:shd w:val="clear" w:color="auto" w:fill="auto"/>
            <w:tcMar>
              <w:top w:w="100" w:type="dxa"/>
              <w:left w:w="100" w:type="dxa"/>
              <w:bottom w:w="100" w:type="dxa"/>
              <w:right w:w="100" w:type="dxa"/>
            </w:tcMar>
          </w:tcPr>
          <w:p w14:paraId="1B644071" w14:textId="77777777" w:rsidR="009301CC" w:rsidRDefault="00000000">
            <w:pPr>
              <w:widowControl w:val="0"/>
              <w:spacing w:after="0" w:line="240" w:lineRule="auto"/>
            </w:pPr>
            <w:r>
              <w:t>Instrument</w:t>
            </w:r>
          </w:p>
        </w:tc>
        <w:tc>
          <w:tcPr>
            <w:tcW w:w="5805" w:type="dxa"/>
            <w:shd w:val="clear" w:color="auto" w:fill="auto"/>
            <w:tcMar>
              <w:top w:w="100" w:type="dxa"/>
              <w:left w:w="100" w:type="dxa"/>
              <w:bottom w:w="100" w:type="dxa"/>
              <w:right w:w="100" w:type="dxa"/>
            </w:tcMar>
          </w:tcPr>
          <w:p w14:paraId="70090118" w14:textId="77777777" w:rsidR="009301CC" w:rsidRDefault="00000000">
            <w:pPr>
              <w:widowControl w:val="0"/>
              <w:spacing w:after="0" w:line="240" w:lineRule="auto"/>
            </w:pPr>
            <w:r>
              <w:t xml:space="preserve">Clause/s </w:t>
            </w:r>
          </w:p>
        </w:tc>
      </w:tr>
      <w:tr w:rsidR="009301CC" w14:paraId="44461238" w14:textId="77777777">
        <w:tc>
          <w:tcPr>
            <w:tcW w:w="1665" w:type="dxa"/>
            <w:shd w:val="clear" w:color="auto" w:fill="auto"/>
            <w:tcMar>
              <w:top w:w="100" w:type="dxa"/>
              <w:left w:w="100" w:type="dxa"/>
              <w:bottom w:w="100" w:type="dxa"/>
              <w:right w:w="100" w:type="dxa"/>
            </w:tcMar>
          </w:tcPr>
          <w:p w14:paraId="41FDD769" w14:textId="77777777" w:rsidR="009301CC" w:rsidRDefault="00000000">
            <w:pPr>
              <w:widowControl w:val="0"/>
              <w:spacing w:after="0" w:line="240" w:lineRule="auto"/>
              <w:rPr>
                <w:shd w:val="clear" w:color="auto" w:fill="E6B8AF"/>
              </w:rPr>
            </w:pPr>
            <w:r>
              <w:rPr>
                <w:shd w:val="clear" w:color="auto" w:fill="E6B8AF"/>
              </w:rPr>
              <w:t>Action 1: Transparency</w:t>
            </w:r>
          </w:p>
        </w:tc>
        <w:tc>
          <w:tcPr>
            <w:tcW w:w="1575" w:type="dxa"/>
            <w:shd w:val="clear" w:color="auto" w:fill="auto"/>
            <w:tcMar>
              <w:top w:w="100" w:type="dxa"/>
              <w:left w:w="100" w:type="dxa"/>
              <w:bottom w:w="100" w:type="dxa"/>
              <w:right w:w="100" w:type="dxa"/>
            </w:tcMar>
          </w:tcPr>
          <w:p w14:paraId="423DB2B5"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53FDA23E" w14:textId="77777777" w:rsidR="009301CC" w:rsidRDefault="009301CC">
            <w:pPr>
              <w:widowControl w:val="0"/>
              <w:spacing w:after="0" w:line="240" w:lineRule="auto"/>
            </w:pPr>
          </w:p>
        </w:tc>
      </w:tr>
      <w:tr w:rsidR="009301CC" w14:paraId="156F5469" w14:textId="77777777">
        <w:tc>
          <w:tcPr>
            <w:tcW w:w="1665" w:type="dxa"/>
            <w:shd w:val="clear" w:color="auto" w:fill="auto"/>
            <w:tcMar>
              <w:top w:w="100" w:type="dxa"/>
              <w:left w:w="100" w:type="dxa"/>
              <w:bottom w:w="100" w:type="dxa"/>
              <w:right w:w="100" w:type="dxa"/>
            </w:tcMar>
          </w:tcPr>
          <w:p w14:paraId="4F35C52F" w14:textId="77777777" w:rsidR="009301CC" w:rsidRDefault="009301CC">
            <w:pPr>
              <w:widowControl w:val="0"/>
              <w:spacing w:after="0" w:line="240" w:lineRule="auto"/>
              <w:rPr>
                <w:shd w:val="clear" w:color="auto" w:fill="E6B8AF"/>
              </w:rPr>
            </w:pPr>
          </w:p>
        </w:tc>
        <w:tc>
          <w:tcPr>
            <w:tcW w:w="1575" w:type="dxa"/>
            <w:shd w:val="clear" w:color="auto" w:fill="auto"/>
            <w:tcMar>
              <w:top w:w="100" w:type="dxa"/>
              <w:left w:w="100" w:type="dxa"/>
              <w:bottom w:w="100" w:type="dxa"/>
              <w:right w:w="100" w:type="dxa"/>
            </w:tcMar>
          </w:tcPr>
          <w:p w14:paraId="5CDA89EB" w14:textId="77777777" w:rsidR="009301CC" w:rsidRDefault="009301CC">
            <w:pPr>
              <w:spacing w:after="0" w:line="240" w:lineRule="auto"/>
            </w:pPr>
          </w:p>
        </w:tc>
        <w:tc>
          <w:tcPr>
            <w:tcW w:w="5805" w:type="dxa"/>
            <w:shd w:val="clear" w:color="auto" w:fill="auto"/>
            <w:tcMar>
              <w:top w:w="100" w:type="dxa"/>
              <w:left w:w="100" w:type="dxa"/>
              <w:bottom w:w="100" w:type="dxa"/>
              <w:right w:w="100" w:type="dxa"/>
            </w:tcMar>
          </w:tcPr>
          <w:p w14:paraId="46E9E126" w14:textId="77777777" w:rsidR="009301CC" w:rsidRDefault="009301CC">
            <w:pPr>
              <w:widowControl w:val="0"/>
              <w:spacing w:after="0" w:line="240" w:lineRule="auto"/>
            </w:pPr>
          </w:p>
        </w:tc>
      </w:tr>
      <w:tr w:rsidR="009301CC" w14:paraId="5632D514" w14:textId="77777777">
        <w:tc>
          <w:tcPr>
            <w:tcW w:w="1665" w:type="dxa"/>
            <w:shd w:val="clear" w:color="auto" w:fill="auto"/>
            <w:tcMar>
              <w:top w:w="100" w:type="dxa"/>
              <w:left w:w="100" w:type="dxa"/>
              <w:bottom w:w="100" w:type="dxa"/>
              <w:right w:w="100" w:type="dxa"/>
            </w:tcMar>
          </w:tcPr>
          <w:p w14:paraId="6B05FF4F" w14:textId="77777777" w:rsidR="009301CC" w:rsidRDefault="009301CC">
            <w:pPr>
              <w:widowControl w:val="0"/>
              <w:spacing w:after="0" w:line="240" w:lineRule="auto"/>
              <w:rPr>
                <w:shd w:val="clear" w:color="auto" w:fill="E6B8AF"/>
              </w:rPr>
            </w:pPr>
          </w:p>
        </w:tc>
        <w:tc>
          <w:tcPr>
            <w:tcW w:w="1575" w:type="dxa"/>
            <w:shd w:val="clear" w:color="auto" w:fill="auto"/>
            <w:tcMar>
              <w:top w:w="100" w:type="dxa"/>
              <w:left w:w="100" w:type="dxa"/>
              <w:bottom w:w="100" w:type="dxa"/>
              <w:right w:w="100" w:type="dxa"/>
            </w:tcMar>
          </w:tcPr>
          <w:p w14:paraId="60205842" w14:textId="77777777" w:rsidR="009301CC" w:rsidRDefault="009301CC">
            <w:pPr>
              <w:spacing w:after="0" w:line="240" w:lineRule="auto"/>
            </w:pPr>
          </w:p>
        </w:tc>
        <w:tc>
          <w:tcPr>
            <w:tcW w:w="5805" w:type="dxa"/>
            <w:shd w:val="clear" w:color="auto" w:fill="auto"/>
            <w:tcMar>
              <w:top w:w="100" w:type="dxa"/>
              <w:left w:w="100" w:type="dxa"/>
              <w:bottom w:w="100" w:type="dxa"/>
              <w:right w:w="100" w:type="dxa"/>
            </w:tcMar>
          </w:tcPr>
          <w:p w14:paraId="53E6BECE" w14:textId="77777777" w:rsidR="009301CC" w:rsidRDefault="009301CC">
            <w:pPr>
              <w:widowControl w:val="0"/>
              <w:spacing w:after="0" w:line="240" w:lineRule="auto"/>
            </w:pPr>
          </w:p>
        </w:tc>
      </w:tr>
      <w:tr w:rsidR="009301CC" w14:paraId="0C752045" w14:textId="77777777">
        <w:tc>
          <w:tcPr>
            <w:tcW w:w="1665" w:type="dxa"/>
            <w:shd w:val="clear" w:color="auto" w:fill="auto"/>
            <w:tcMar>
              <w:top w:w="100" w:type="dxa"/>
              <w:left w:w="100" w:type="dxa"/>
              <w:bottom w:w="100" w:type="dxa"/>
              <w:right w:w="100" w:type="dxa"/>
            </w:tcMar>
          </w:tcPr>
          <w:p w14:paraId="77253DD9"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6AC2A903"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48DAC99B" w14:textId="77777777" w:rsidR="009301CC" w:rsidRDefault="009301CC">
            <w:pPr>
              <w:widowControl w:val="0"/>
              <w:spacing w:after="0" w:line="240" w:lineRule="auto"/>
            </w:pPr>
          </w:p>
        </w:tc>
      </w:tr>
      <w:tr w:rsidR="009301CC" w14:paraId="267C0CDA" w14:textId="77777777">
        <w:tc>
          <w:tcPr>
            <w:tcW w:w="1665" w:type="dxa"/>
            <w:shd w:val="clear" w:color="auto" w:fill="auto"/>
            <w:tcMar>
              <w:top w:w="100" w:type="dxa"/>
              <w:left w:w="100" w:type="dxa"/>
              <w:bottom w:w="100" w:type="dxa"/>
              <w:right w:w="100" w:type="dxa"/>
            </w:tcMar>
          </w:tcPr>
          <w:p w14:paraId="0463AC32"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7ED1A552"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4BC02C9B" w14:textId="77777777" w:rsidR="009301CC" w:rsidRDefault="009301CC">
            <w:pPr>
              <w:widowControl w:val="0"/>
              <w:spacing w:after="0" w:line="240" w:lineRule="auto"/>
            </w:pPr>
          </w:p>
        </w:tc>
      </w:tr>
      <w:tr w:rsidR="009301CC" w14:paraId="7A37D16B" w14:textId="77777777">
        <w:tc>
          <w:tcPr>
            <w:tcW w:w="1665" w:type="dxa"/>
            <w:shd w:val="clear" w:color="auto" w:fill="auto"/>
            <w:tcMar>
              <w:top w:w="100" w:type="dxa"/>
              <w:left w:w="100" w:type="dxa"/>
              <w:bottom w:w="100" w:type="dxa"/>
              <w:right w:w="100" w:type="dxa"/>
            </w:tcMar>
          </w:tcPr>
          <w:p w14:paraId="0005D92C" w14:textId="77777777" w:rsidR="009301CC" w:rsidRDefault="00000000">
            <w:pPr>
              <w:widowControl w:val="0"/>
              <w:spacing w:after="0" w:line="240" w:lineRule="auto"/>
              <w:rPr>
                <w:shd w:val="clear" w:color="auto" w:fill="E6B8AF"/>
              </w:rPr>
            </w:pPr>
            <w:r>
              <w:rPr>
                <w:shd w:val="clear" w:color="auto" w:fill="E6B8AF"/>
              </w:rPr>
              <w:t xml:space="preserve">Action 2: Empowerment </w:t>
            </w:r>
          </w:p>
        </w:tc>
        <w:tc>
          <w:tcPr>
            <w:tcW w:w="1575" w:type="dxa"/>
            <w:shd w:val="clear" w:color="auto" w:fill="auto"/>
            <w:tcMar>
              <w:top w:w="100" w:type="dxa"/>
              <w:left w:w="100" w:type="dxa"/>
              <w:bottom w:w="100" w:type="dxa"/>
              <w:right w:w="100" w:type="dxa"/>
            </w:tcMar>
          </w:tcPr>
          <w:p w14:paraId="7B691584"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096B736D" w14:textId="77777777" w:rsidR="009301CC" w:rsidRDefault="009301CC">
            <w:pPr>
              <w:widowControl w:val="0"/>
              <w:spacing w:after="0" w:line="240" w:lineRule="auto"/>
            </w:pPr>
          </w:p>
        </w:tc>
      </w:tr>
      <w:tr w:rsidR="009301CC" w14:paraId="27CBF7DA" w14:textId="77777777">
        <w:tc>
          <w:tcPr>
            <w:tcW w:w="1665" w:type="dxa"/>
            <w:shd w:val="clear" w:color="auto" w:fill="auto"/>
            <w:tcMar>
              <w:top w:w="100" w:type="dxa"/>
              <w:left w:w="100" w:type="dxa"/>
              <w:bottom w:w="100" w:type="dxa"/>
              <w:right w:w="100" w:type="dxa"/>
            </w:tcMar>
          </w:tcPr>
          <w:p w14:paraId="4A69F83F" w14:textId="77777777" w:rsidR="009301CC" w:rsidRDefault="009301CC">
            <w:pPr>
              <w:widowControl w:val="0"/>
              <w:spacing w:after="0" w:line="240" w:lineRule="auto"/>
              <w:rPr>
                <w:shd w:val="clear" w:color="auto" w:fill="E6B8AF"/>
              </w:rPr>
            </w:pPr>
          </w:p>
        </w:tc>
        <w:tc>
          <w:tcPr>
            <w:tcW w:w="1575" w:type="dxa"/>
            <w:shd w:val="clear" w:color="auto" w:fill="auto"/>
            <w:tcMar>
              <w:top w:w="100" w:type="dxa"/>
              <w:left w:w="100" w:type="dxa"/>
              <w:bottom w:w="100" w:type="dxa"/>
              <w:right w:w="100" w:type="dxa"/>
            </w:tcMar>
          </w:tcPr>
          <w:p w14:paraId="5E6564D2" w14:textId="77777777" w:rsidR="009301CC" w:rsidRDefault="009301CC">
            <w:pPr>
              <w:spacing w:after="0" w:line="240" w:lineRule="auto"/>
            </w:pPr>
          </w:p>
        </w:tc>
        <w:tc>
          <w:tcPr>
            <w:tcW w:w="5805" w:type="dxa"/>
            <w:shd w:val="clear" w:color="auto" w:fill="auto"/>
            <w:tcMar>
              <w:top w:w="100" w:type="dxa"/>
              <w:left w:w="100" w:type="dxa"/>
              <w:bottom w:w="100" w:type="dxa"/>
              <w:right w:w="100" w:type="dxa"/>
            </w:tcMar>
          </w:tcPr>
          <w:p w14:paraId="72D9C79E" w14:textId="77777777" w:rsidR="009301CC" w:rsidRDefault="009301CC">
            <w:pPr>
              <w:widowControl w:val="0"/>
              <w:spacing w:after="0" w:line="240" w:lineRule="auto"/>
            </w:pPr>
          </w:p>
        </w:tc>
      </w:tr>
      <w:tr w:rsidR="009301CC" w14:paraId="402420F0" w14:textId="77777777">
        <w:tc>
          <w:tcPr>
            <w:tcW w:w="1665" w:type="dxa"/>
            <w:shd w:val="clear" w:color="auto" w:fill="auto"/>
            <w:tcMar>
              <w:top w:w="100" w:type="dxa"/>
              <w:left w:w="100" w:type="dxa"/>
              <w:bottom w:w="100" w:type="dxa"/>
              <w:right w:w="100" w:type="dxa"/>
            </w:tcMar>
          </w:tcPr>
          <w:p w14:paraId="56F03EFC"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59AD2CC0"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639AAE78" w14:textId="77777777" w:rsidR="009301CC" w:rsidRDefault="009301CC">
            <w:pPr>
              <w:widowControl w:val="0"/>
              <w:spacing w:after="0" w:line="240" w:lineRule="auto"/>
            </w:pPr>
          </w:p>
        </w:tc>
      </w:tr>
      <w:tr w:rsidR="009301CC" w14:paraId="7A0CC038" w14:textId="77777777">
        <w:tc>
          <w:tcPr>
            <w:tcW w:w="1665" w:type="dxa"/>
            <w:shd w:val="clear" w:color="auto" w:fill="auto"/>
            <w:tcMar>
              <w:top w:w="100" w:type="dxa"/>
              <w:left w:w="100" w:type="dxa"/>
              <w:bottom w:w="100" w:type="dxa"/>
              <w:right w:w="100" w:type="dxa"/>
            </w:tcMar>
          </w:tcPr>
          <w:p w14:paraId="45106DE1"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225430A6"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12DB16F7" w14:textId="77777777" w:rsidR="009301CC" w:rsidRDefault="009301CC">
            <w:pPr>
              <w:widowControl w:val="0"/>
              <w:spacing w:after="0" w:line="240" w:lineRule="auto"/>
            </w:pPr>
          </w:p>
        </w:tc>
      </w:tr>
      <w:tr w:rsidR="009301CC" w14:paraId="575EA719" w14:textId="77777777">
        <w:tc>
          <w:tcPr>
            <w:tcW w:w="1665" w:type="dxa"/>
            <w:shd w:val="clear" w:color="auto" w:fill="auto"/>
            <w:tcMar>
              <w:top w:w="100" w:type="dxa"/>
              <w:left w:w="100" w:type="dxa"/>
              <w:bottom w:w="100" w:type="dxa"/>
              <w:right w:w="100" w:type="dxa"/>
            </w:tcMar>
          </w:tcPr>
          <w:p w14:paraId="563710EA" w14:textId="77777777" w:rsidR="009301CC" w:rsidRDefault="00000000">
            <w:pPr>
              <w:widowControl w:val="0"/>
              <w:spacing w:after="0" w:line="240" w:lineRule="auto"/>
              <w:rPr>
                <w:shd w:val="clear" w:color="auto" w:fill="E6B8AF"/>
              </w:rPr>
            </w:pPr>
            <w:r>
              <w:rPr>
                <w:shd w:val="clear" w:color="auto" w:fill="E6B8AF"/>
              </w:rPr>
              <w:t>Action 3: Keeping it clean</w:t>
            </w:r>
          </w:p>
        </w:tc>
        <w:tc>
          <w:tcPr>
            <w:tcW w:w="1575" w:type="dxa"/>
            <w:shd w:val="clear" w:color="auto" w:fill="auto"/>
            <w:tcMar>
              <w:top w:w="100" w:type="dxa"/>
              <w:left w:w="100" w:type="dxa"/>
              <w:bottom w:w="100" w:type="dxa"/>
              <w:right w:w="100" w:type="dxa"/>
            </w:tcMar>
          </w:tcPr>
          <w:p w14:paraId="1990C27E"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61821B50" w14:textId="77777777" w:rsidR="009301CC" w:rsidRDefault="009301CC">
            <w:pPr>
              <w:widowControl w:val="0"/>
              <w:spacing w:after="0" w:line="240" w:lineRule="auto"/>
            </w:pPr>
          </w:p>
        </w:tc>
      </w:tr>
      <w:tr w:rsidR="009301CC" w14:paraId="4BC72731" w14:textId="77777777">
        <w:tc>
          <w:tcPr>
            <w:tcW w:w="1665" w:type="dxa"/>
            <w:shd w:val="clear" w:color="auto" w:fill="auto"/>
            <w:tcMar>
              <w:top w:w="100" w:type="dxa"/>
              <w:left w:w="100" w:type="dxa"/>
              <w:bottom w:w="100" w:type="dxa"/>
              <w:right w:w="100" w:type="dxa"/>
            </w:tcMar>
          </w:tcPr>
          <w:p w14:paraId="653D5E85" w14:textId="77777777" w:rsidR="009301CC" w:rsidRDefault="009301CC">
            <w:pPr>
              <w:widowControl w:val="0"/>
              <w:spacing w:after="0" w:line="240" w:lineRule="auto"/>
              <w:rPr>
                <w:shd w:val="clear" w:color="auto" w:fill="E6B8AF"/>
              </w:rPr>
            </w:pPr>
          </w:p>
        </w:tc>
        <w:tc>
          <w:tcPr>
            <w:tcW w:w="1575" w:type="dxa"/>
            <w:shd w:val="clear" w:color="auto" w:fill="auto"/>
            <w:tcMar>
              <w:top w:w="100" w:type="dxa"/>
              <w:left w:w="100" w:type="dxa"/>
              <w:bottom w:w="100" w:type="dxa"/>
              <w:right w:w="100" w:type="dxa"/>
            </w:tcMar>
          </w:tcPr>
          <w:p w14:paraId="7E5FF87E"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42CCF45B" w14:textId="77777777" w:rsidR="009301CC" w:rsidRDefault="009301CC">
            <w:pPr>
              <w:widowControl w:val="0"/>
              <w:spacing w:after="0" w:line="240" w:lineRule="auto"/>
            </w:pPr>
          </w:p>
        </w:tc>
      </w:tr>
      <w:tr w:rsidR="009301CC" w14:paraId="68A95F77" w14:textId="77777777">
        <w:tc>
          <w:tcPr>
            <w:tcW w:w="1665" w:type="dxa"/>
            <w:shd w:val="clear" w:color="auto" w:fill="auto"/>
            <w:tcMar>
              <w:top w:w="100" w:type="dxa"/>
              <w:left w:w="100" w:type="dxa"/>
              <w:bottom w:w="100" w:type="dxa"/>
              <w:right w:w="100" w:type="dxa"/>
            </w:tcMar>
          </w:tcPr>
          <w:p w14:paraId="32375E5D"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112BEE47"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5D60E120" w14:textId="77777777" w:rsidR="009301CC" w:rsidRDefault="009301CC">
            <w:pPr>
              <w:widowControl w:val="0"/>
              <w:spacing w:after="0" w:line="240" w:lineRule="auto"/>
            </w:pPr>
          </w:p>
        </w:tc>
      </w:tr>
      <w:tr w:rsidR="009301CC" w14:paraId="6279EC17" w14:textId="77777777">
        <w:tc>
          <w:tcPr>
            <w:tcW w:w="1665" w:type="dxa"/>
            <w:shd w:val="clear" w:color="auto" w:fill="auto"/>
            <w:tcMar>
              <w:top w:w="100" w:type="dxa"/>
              <w:left w:w="100" w:type="dxa"/>
              <w:bottom w:w="100" w:type="dxa"/>
              <w:right w:w="100" w:type="dxa"/>
            </w:tcMar>
          </w:tcPr>
          <w:p w14:paraId="44C04613"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1F4D2BAF"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6E9197D0" w14:textId="77777777" w:rsidR="009301CC" w:rsidRDefault="009301CC">
            <w:pPr>
              <w:widowControl w:val="0"/>
              <w:spacing w:after="0" w:line="240" w:lineRule="auto"/>
            </w:pPr>
          </w:p>
        </w:tc>
      </w:tr>
      <w:tr w:rsidR="009301CC" w14:paraId="04D3414D" w14:textId="77777777">
        <w:tc>
          <w:tcPr>
            <w:tcW w:w="1665" w:type="dxa"/>
            <w:shd w:val="clear" w:color="auto" w:fill="auto"/>
            <w:tcMar>
              <w:top w:w="100" w:type="dxa"/>
              <w:left w:w="100" w:type="dxa"/>
              <w:bottom w:w="100" w:type="dxa"/>
              <w:right w:w="100" w:type="dxa"/>
            </w:tcMar>
          </w:tcPr>
          <w:p w14:paraId="7A630CFD"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44F62F8F"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338B5F49" w14:textId="77777777" w:rsidR="009301CC" w:rsidRDefault="009301CC">
            <w:pPr>
              <w:widowControl w:val="0"/>
              <w:spacing w:after="0" w:line="240" w:lineRule="auto"/>
            </w:pPr>
          </w:p>
        </w:tc>
      </w:tr>
      <w:tr w:rsidR="009301CC" w14:paraId="634F0866" w14:textId="77777777">
        <w:tc>
          <w:tcPr>
            <w:tcW w:w="1665" w:type="dxa"/>
            <w:shd w:val="clear" w:color="auto" w:fill="auto"/>
            <w:tcMar>
              <w:top w:w="100" w:type="dxa"/>
              <w:left w:w="100" w:type="dxa"/>
              <w:bottom w:w="100" w:type="dxa"/>
              <w:right w:w="100" w:type="dxa"/>
            </w:tcMar>
          </w:tcPr>
          <w:p w14:paraId="377CC8EB"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49349DB6" w14:textId="77777777" w:rsidR="009301CC" w:rsidRDefault="009301CC">
            <w:pPr>
              <w:widowControl w:val="0"/>
              <w:spacing w:after="0" w:line="240" w:lineRule="auto"/>
            </w:pPr>
          </w:p>
        </w:tc>
        <w:tc>
          <w:tcPr>
            <w:tcW w:w="5805" w:type="dxa"/>
            <w:shd w:val="clear" w:color="auto" w:fill="auto"/>
            <w:tcMar>
              <w:top w:w="100" w:type="dxa"/>
              <w:left w:w="100" w:type="dxa"/>
              <w:bottom w:w="100" w:type="dxa"/>
              <w:right w:w="100" w:type="dxa"/>
            </w:tcMar>
          </w:tcPr>
          <w:p w14:paraId="02932DC1" w14:textId="77777777" w:rsidR="009301CC" w:rsidRDefault="009301CC">
            <w:pPr>
              <w:widowControl w:val="0"/>
              <w:spacing w:after="0" w:line="240" w:lineRule="auto"/>
            </w:pPr>
          </w:p>
        </w:tc>
      </w:tr>
      <w:tr w:rsidR="009301CC" w14:paraId="3534826B" w14:textId="77777777">
        <w:tc>
          <w:tcPr>
            <w:tcW w:w="1665" w:type="dxa"/>
            <w:shd w:val="clear" w:color="auto" w:fill="auto"/>
            <w:tcMar>
              <w:top w:w="100" w:type="dxa"/>
              <w:left w:w="100" w:type="dxa"/>
              <w:bottom w:w="100" w:type="dxa"/>
              <w:right w:w="100" w:type="dxa"/>
            </w:tcMar>
          </w:tcPr>
          <w:p w14:paraId="6A020F3D" w14:textId="77777777" w:rsidR="009301CC" w:rsidRDefault="009301CC">
            <w:pPr>
              <w:widowControl w:val="0"/>
              <w:spacing w:after="0" w:line="240" w:lineRule="auto"/>
            </w:pPr>
          </w:p>
        </w:tc>
        <w:tc>
          <w:tcPr>
            <w:tcW w:w="1575" w:type="dxa"/>
            <w:shd w:val="clear" w:color="auto" w:fill="auto"/>
            <w:tcMar>
              <w:top w:w="100" w:type="dxa"/>
              <w:left w:w="100" w:type="dxa"/>
              <w:bottom w:w="100" w:type="dxa"/>
              <w:right w:w="100" w:type="dxa"/>
            </w:tcMar>
          </w:tcPr>
          <w:p w14:paraId="6C0F945D" w14:textId="77777777" w:rsidR="009301CC" w:rsidRDefault="009301CC">
            <w:pPr>
              <w:widowControl w:val="0"/>
              <w:spacing w:after="0" w:line="240" w:lineRule="auto"/>
              <w:jc w:val="both"/>
            </w:pPr>
          </w:p>
        </w:tc>
        <w:tc>
          <w:tcPr>
            <w:tcW w:w="5805" w:type="dxa"/>
            <w:shd w:val="clear" w:color="auto" w:fill="auto"/>
            <w:tcMar>
              <w:top w:w="100" w:type="dxa"/>
              <w:left w:w="100" w:type="dxa"/>
              <w:bottom w:w="100" w:type="dxa"/>
              <w:right w:w="100" w:type="dxa"/>
            </w:tcMar>
          </w:tcPr>
          <w:p w14:paraId="2CBBA1A2" w14:textId="77777777" w:rsidR="009301CC" w:rsidRDefault="009301CC">
            <w:pPr>
              <w:widowControl w:val="0"/>
              <w:spacing w:after="0" w:line="240" w:lineRule="auto"/>
              <w:jc w:val="both"/>
            </w:pPr>
          </w:p>
        </w:tc>
      </w:tr>
    </w:tbl>
    <w:p w14:paraId="3A7C100C" w14:textId="77777777" w:rsidR="009301CC" w:rsidRDefault="009301CC"/>
    <w:p w14:paraId="448079A5" w14:textId="77777777" w:rsidR="009301CC" w:rsidRDefault="00000000">
      <w:r>
        <w:br w:type="page"/>
      </w:r>
    </w:p>
    <w:p w14:paraId="0FC78E41" w14:textId="77777777" w:rsidR="009301CC" w:rsidRDefault="009301CC"/>
    <w:p w14:paraId="75A908E2" w14:textId="77777777" w:rsidR="009301CC" w:rsidRDefault="00000000">
      <w:pPr>
        <w:numPr>
          <w:ilvl w:val="0"/>
          <w:numId w:val="3"/>
        </w:numPr>
        <w:pBdr>
          <w:top w:val="nil"/>
          <w:left w:val="nil"/>
          <w:bottom w:val="nil"/>
          <w:right w:val="nil"/>
          <w:between w:val="nil"/>
        </w:pBdr>
        <w:rPr>
          <w:b/>
          <w:color w:val="000000"/>
        </w:rPr>
      </w:pPr>
      <w:r>
        <w:rPr>
          <w:b/>
        </w:rPr>
        <w:t xml:space="preserve">Implementation guide for civil society on data access  </w:t>
      </w:r>
    </w:p>
    <w:p w14:paraId="70C6CBEC" w14:textId="77777777" w:rsidR="009301CC" w:rsidRDefault="00000000">
      <w:pPr>
        <w:rPr>
          <w:u w:val="single"/>
        </w:rPr>
      </w:pPr>
      <w:r>
        <w:rPr>
          <w:u w:val="single"/>
        </w:rPr>
        <w:t>Purpose and use of this guideline</w:t>
      </w:r>
    </w:p>
    <w:p w14:paraId="158A0676" w14:textId="77777777" w:rsidR="009301CC" w:rsidRDefault="00000000">
      <w:r>
        <w:t xml:space="preserve">Data, especially that used by social media,  is increasingly a key driver of processes and outcomes. . Data sets serve to inform decisions - whether automated by algorithms, or made by humans, and data is also the fuel of machine-learning AI. </w:t>
      </w:r>
    </w:p>
    <w:p w14:paraId="6B269BBB" w14:textId="77777777" w:rsidR="009301CC" w:rsidRDefault="00000000">
      <w:r>
        <w:t>Therefore the focus here is on how African civil society (including academia) can get a greater understanding of the role of data and how national ATI regimes can be used or amended to advance ATD in both public and private sectors   It pinpoints the actions needed for this, elaborates on what these entail, and provides the legitimation in a range of agreed pan-African and international standards.</w:t>
      </w:r>
    </w:p>
    <w:p w14:paraId="43313DFC" w14:textId="77777777" w:rsidR="009301CC" w:rsidRDefault="00000000">
      <w:pPr>
        <w:rPr>
          <w:b/>
        </w:rPr>
      </w:pPr>
      <w:r>
        <w:rPr>
          <w:u w:val="single"/>
        </w:rPr>
        <w:t xml:space="preserve">Key action points/opportunities for civil society: </w:t>
      </w:r>
    </w:p>
    <w:p w14:paraId="5323B97F" w14:textId="77777777" w:rsidR="009301CC" w:rsidRDefault="00000000">
      <w:pPr>
        <w:numPr>
          <w:ilvl w:val="0"/>
          <w:numId w:val="9"/>
        </w:numPr>
        <w:pBdr>
          <w:top w:val="nil"/>
          <w:left w:val="nil"/>
          <w:bottom w:val="nil"/>
          <w:right w:val="nil"/>
          <w:between w:val="nil"/>
        </w:pBdr>
        <w:spacing w:after="0"/>
      </w:pPr>
      <w:r>
        <w:rPr>
          <w:b/>
        </w:rPr>
        <w:t>point 1 (to be decided)</w:t>
      </w:r>
    </w:p>
    <w:p w14:paraId="1C902BE2" w14:textId="77777777" w:rsidR="009301CC" w:rsidRDefault="00000000">
      <w:pPr>
        <w:numPr>
          <w:ilvl w:val="0"/>
          <w:numId w:val="9"/>
        </w:numPr>
        <w:pBdr>
          <w:top w:val="nil"/>
          <w:left w:val="nil"/>
          <w:bottom w:val="nil"/>
          <w:right w:val="nil"/>
          <w:between w:val="nil"/>
        </w:pBdr>
        <w:spacing w:after="0"/>
        <w:rPr>
          <w:b/>
        </w:rPr>
      </w:pPr>
      <w:r>
        <w:rPr>
          <w:b/>
        </w:rPr>
        <w:t>point 2 (ditto)</w:t>
      </w:r>
    </w:p>
    <w:p w14:paraId="61F04269" w14:textId="77777777" w:rsidR="009301CC" w:rsidRDefault="00000000">
      <w:pPr>
        <w:numPr>
          <w:ilvl w:val="0"/>
          <w:numId w:val="9"/>
        </w:numPr>
        <w:pBdr>
          <w:top w:val="nil"/>
          <w:left w:val="nil"/>
          <w:bottom w:val="nil"/>
          <w:right w:val="nil"/>
          <w:between w:val="nil"/>
        </w:pBdr>
        <w:spacing w:after="0"/>
        <w:rPr>
          <w:b/>
        </w:rPr>
      </w:pPr>
      <w:r>
        <w:rPr>
          <w:b/>
        </w:rPr>
        <w:t>point 3 (ditto)</w:t>
      </w:r>
    </w:p>
    <w:p w14:paraId="593090A8" w14:textId="77777777" w:rsidR="009301CC" w:rsidRDefault="009301CC">
      <w:pPr>
        <w:pBdr>
          <w:top w:val="nil"/>
          <w:left w:val="nil"/>
          <w:bottom w:val="nil"/>
          <w:right w:val="nil"/>
          <w:between w:val="nil"/>
        </w:pBdr>
        <w:spacing w:after="0"/>
        <w:ind w:left="720"/>
      </w:pPr>
    </w:p>
    <w:p w14:paraId="372A670E" w14:textId="77777777" w:rsidR="009301CC" w:rsidRDefault="00000000">
      <w:pPr>
        <w:rPr>
          <w:u w:val="single"/>
        </w:rPr>
      </w:pPr>
      <w:r>
        <w:rPr>
          <w:u w:val="single"/>
        </w:rPr>
        <w:t>What’s entailed in each action point:</w:t>
      </w:r>
    </w:p>
    <w:p w14:paraId="70C05EBF" w14:textId="77777777" w:rsidR="009301CC" w:rsidRDefault="00000000">
      <w:pPr>
        <w:numPr>
          <w:ilvl w:val="0"/>
          <w:numId w:val="5"/>
        </w:numPr>
        <w:spacing w:after="0"/>
      </w:pPr>
      <w:r>
        <w:t xml:space="preserve">Civil society constitutes an independent oversight role o </w:t>
      </w:r>
    </w:p>
    <w:p w14:paraId="1EFFBD59" w14:textId="77777777" w:rsidR="009301CC" w:rsidRDefault="00000000">
      <w:pPr>
        <w:numPr>
          <w:ilvl w:val="0"/>
          <w:numId w:val="5"/>
        </w:numPr>
        <w:spacing w:after="0"/>
      </w:pPr>
      <w:r>
        <w:t xml:space="preserve">Without compromising independence, civil society actors can optimise their data access, capacities and impact with structured relationships with ICs, government and the tech companies. </w:t>
      </w:r>
    </w:p>
    <w:p w14:paraId="540FD1D4" w14:textId="77777777" w:rsidR="009301CC" w:rsidRDefault="00000000">
      <w:pPr>
        <w:numPr>
          <w:ilvl w:val="0"/>
          <w:numId w:val="5"/>
        </w:numPr>
      </w:pPr>
      <w:r>
        <w:t xml:space="preserve">Civil society has a key role to raise awareness of data-driven challenges and opportunities, to publicise their own data-based evidence widely, and to incorporate all this into capacity building programmes for various stakeholders. </w:t>
      </w:r>
    </w:p>
    <w:p w14:paraId="7DF18B54" w14:textId="77777777" w:rsidR="009301CC" w:rsidRDefault="009301CC">
      <w:pPr>
        <w:ind w:left="720"/>
      </w:pPr>
    </w:p>
    <w:p w14:paraId="367B0323" w14:textId="77777777" w:rsidR="009301CC" w:rsidRDefault="00000000">
      <w:pPr>
        <w:ind w:left="720"/>
        <w:rPr>
          <w:u w:val="single"/>
        </w:rPr>
      </w:pPr>
      <w:r>
        <w:rPr>
          <w:u w:val="single"/>
        </w:rPr>
        <w:t>Underlying foundations:</w:t>
      </w:r>
    </w:p>
    <w:p w14:paraId="283425AA" w14:textId="77777777" w:rsidR="009301CC" w:rsidRDefault="00000000">
      <w:pPr>
        <w:numPr>
          <w:ilvl w:val="0"/>
          <w:numId w:val="1"/>
        </w:numPr>
        <w:pBdr>
          <w:top w:val="nil"/>
          <w:left w:val="nil"/>
          <w:bottom w:val="nil"/>
          <w:right w:val="nil"/>
          <w:between w:val="nil"/>
        </w:pBdr>
        <w:spacing w:after="0"/>
      </w:pPr>
      <w:hyperlink r:id="rId22">
        <w:r>
          <w:rPr>
            <w:color w:val="0563C1"/>
            <w:u w:val="single"/>
          </w:rPr>
          <w:t>Declaration of principles of freedom of expression and access to information in Africa</w:t>
        </w:r>
      </w:hyperlink>
      <w:r>
        <w:rPr>
          <w:color w:val="000000"/>
        </w:rPr>
        <w:t>.</w:t>
      </w:r>
    </w:p>
    <w:p w14:paraId="7395BD53" w14:textId="77777777" w:rsidR="009301CC" w:rsidRDefault="00000000">
      <w:pPr>
        <w:numPr>
          <w:ilvl w:val="0"/>
          <w:numId w:val="1"/>
        </w:numPr>
        <w:pBdr>
          <w:top w:val="nil"/>
          <w:left w:val="nil"/>
          <w:bottom w:val="nil"/>
          <w:right w:val="nil"/>
          <w:between w:val="nil"/>
        </w:pBdr>
        <w:spacing w:after="0"/>
      </w:pPr>
      <w:hyperlink r:id="rId23">
        <w:r>
          <w:rPr>
            <w:color w:val="0563C1"/>
            <w:u w:val="single"/>
          </w:rPr>
          <w:t>Guidelines on Access to Information in Times of Elections</w:t>
        </w:r>
      </w:hyperlink>
    </w:p>
    <w:p w14:paraId="528D1FCC" w14:textId="77777777" w:rsidR="009301CC" w:rsidRDefault="00000000">
      <w:pPr>
        <w:numPr>
          <w:ilvl w:val="0"/>
          <w:numId w:val="1"/>
        </w:numPr>
        <w:pBdr>
          <w:top w:val="nil"/>
          <w:left w:val="nil"/>
          <w:bottom w:val="nil"/>
          <w:right w:val="nil"/>
          <w:between w:val="nil"/>
        </w:pBdr>
        <w:spacing w:after="0"/>
      </w:pPr>
      <w:r>
        <w:rPr>
          <w:color w:val="000000"/>
        </w:rPr>
        <w:t xml:space="preserve">UN </w:t>
      </w:r>
      <w:hyperlink r:id="rId24">
        <w:r>
          <w:rPr>
            <w:color w:val="0000FF"/>
            <w:u w:val="single"/>
          </w:rPr>
          <w:t>Guiding Principles on Business and Human Rights</w:t>
        </w:r>
      </w:hyperlink>
    </w:p>
    <w:p w14:paraId="0B09BEB0" w14:textId="77777777" w:rsidR="009301CC" w:rsidRDefault="00000000">
      <w:pPr>
        <w:numPr>
          <w:ilvl w:val="0"/>
          <w:numId w:val="1"/>
        </w:numPr>
        <w:pBdr>
          <w:top w:val="nil"/>
          <w:left w:val="nil"/>
          <w:bottom w:val="nil"/>
          <w:right w:val="nil"/>
          <w:between w:val="nil"/>
        </w:pBdr>
      </w:pPr>
      <w:r>
        <w:rPr>
          <w:color w:val="000000"/>
        </w:rPr>
        <w:t xml:space="preserve">UNESCO </w:t>
      </w:r>
      <w:hyperlink r:id="rId25">
        <w:r>
          <w:rPr>
            <w:color w:val="0000FF"/>
            <w:u w:val="single"/>
          </w:rPr>
          <w:t>Guidelines for the governance of digital platforms: safeguarding freedom of expression and access to information through a multi-stakeholder approach</w:t>
        </w:r>
      </w:hyperlink>
    </w:p>
    <w:p w14:paraId="0FE516CB" w14:textId="77777777" w:rsidR="009301CC" w:rsidRDefault="00000000">
      <w:pPr>
        <w:rPr>
          <w:u w:val="single"/>
        </w:rPr>
      </w:pPr>
      <w:r>
        <w:rPr>
          <w:u w:val="single"/>
        </w:rPr>
        <w:t xml:space="preserve">Annex: </w:t>
      </w:r>
    </w:p>
    <w:p w14:paraId="62A82DB4" w14:textId="77777777" w:rsidR="009301CC" w:rsidRDefault="00000000">
      <w:r>
        <w:t xml:space="preserve">Relevant clauses from the Foundational documents </w:t>
      </w:r>
    </w:p>
    <w:p w14:paraId="68EE48ED" w14:textId="77777777" w:rsidR="009301CC" w:rsidRDefault="009301CC"/>
    <w:tbl>
      <w:tblPr>
        <w:tblStyle w:val="a4"/>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1569"/>
        <w:gridCol w:w="5451"/>
      </w:tblGrid>
      <w:tr w:rsidR="009301CC" w14:paraId="36145E31" w14:textId="77777777">
        <w:tc>
          <w:tcPr>
            <w:tcW w:w="2025" w:type="dxa"/>
            <w:shd w:val="clear" w:color="auto" w:fill="auto"/>
            <w:tcMar>
              <w:top w:w="100" w:type="dxa"/>
              <w:left w:w="100" w:type="dxa"/>
              <w:bottom w:w="100" w:type="dxa"/>
              <w:right w:w="100" w:type="dxa"/>
            </w:tcMar>
          </w:tcPr>
          <w:p w14:paraId="18709394"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31DA4253" w14:textId="77777777" w:rsidR="009301CC" w:rsidRDefault="00000000">
            <w:pPr>
              <w:widowControl w:val="0"/>
              <w:spacing w:after="0" w:line="240" w:lineRule="auto"/>
            </w:pPr>
            <w:r>
              <w:t>Instrument</w:t>
            </w:r>
          </w:p>
        </w:tc>
        <w:tc>
          <w:tcPr>
            <w:tcW w:w="5451" w:type="dxa"/>
            <w:shd w:val="clear" w:color="auto" w:fill="auto"/>
            <w:tcMar>
              <w:top w:w="100" w:type="dxa"/>
              <w:left w:w="100" w:type="dxa"/>
              <w:bottom w:w="100" w:type="dxa"/>
              <w:right w:w="100" w:type="dxa"/>
            </w:tcMar>
          </w:tcPr>
          <w:p w14:paraId="1D2F2E6A" w14:textId="77777777" w:rsidR="009301CC" w:rsidRDefault="00000000">
            <w:pPr>
              <w:widowControl w:val="0"/>
              <w:spacing w:after="0" w:line="240" w:lineRule="auto"/>
            </w:pPr>
            <w:r>
              <w:t xml:space="preserve">Clause/s </w:t>
            </w:r>
          </w:p>
        </w:tc>
      </w:tr>
      <w:tr w:rsidR="009301CC" w14:paraId="59A52A19" w14:textId="77777777">
        <w:tc>
          <w:tcPr>
            <w:tcW w:w="2025" w:type="dxa"/>
            <w:shd w:val="clear" w:color="auto" w:fill="auto"/>
            <w:tcMar>
              <w:top w:w="100" w:type="dxa"/>
              <w:left w:w="100" w:type="dxa"/>
              <w:bottom w:w="100" w:type="dxa"/>
              <w:right w:w="100" w:type="dxa"/>
            </w:tcMar>
          </w:tcPr>
          <w:p w14:paraId="466E54CB" w14:textId="77777777" w:rsidR="009301CC" w:rsidRDefault="00000000">
            <w:pPr>
              <w:widowControl w:val="0"/>
              <w:spacing w:after="0" w:line="240" w:lineRule="auto"/>
              <w:rPr>
                <w:shd w:val="clear" w:color="auto" w:fill="E6B8AF"/>
              </w:rPr>
            </w:pPr>
            <w:r>
              <w:rPr>
                <w:shd w:val="clear" w:color="auto" w:fill="E6B8AF"/>
              </w:rPr>
              <w:t xml:space="preserve">Action 1: tbc </w:t>
            </w:r>
          </w:p>
        </w:tc>
        <w:tc>
          <w:tcPr>
            <w:tcW w:w="1569" w:type="dxa"/>
            <w:shd w:val="clear" w:color="auto" w:fill="auto"/>
            <w:tcMar>
              <w:top w:w="100" w:type="dxa"/>
              <w:left w:w="100" w:type="dxa"/>
              <w:bottom w:w="100" w:type="dxa"/>
              <w:right w:w="100" w:type="dxa"/>
            </w:tcMar>
          </w:tcPr>
          <w:p w14:paraId="11B7C52B" w14:textId="77777777" w:rsidR="009301CC" w:rsidRDefault="009301CC">
            <w:pPr>
              <w:widowControl w:val="0"/>
              <w:spacing w:after="0" w:line="240" w:lineRule="auto"/>
            </w:pPr>
          </w:p>
        </w:tc>
        <w:tc>
          <w:tcPr>
            <w:tcW w:w="5451" w:type="dxa"/>
            <w:shd w:val="clear" w:color="auto" w:fill="auto"/>
            <w:tcMar>
              <w:top w:w="100" w:type="dxa"/>
              <w:left w:w="100" w:type="dxa"/>
              <w:bottom w:w="100" w:type="dxa"/>
              <w:right w:w="100" w:type="dxa"/>
            </w:tcMar>
          </w:tcPr>
          <w:p w14:paraId="5213B8CB" w14:textId="77777777" w:rsidR="009301CC" w:rsidRDefault="009301CC">
            <w:pPr>
              <w:widowControl w:val="0"/>
              <w:spacing w:after="0" w:line="240" w:lineRule="auto"/>
            </w:pPr>
          </w:p>
        </w:tc>
      </w:tr>
      <w:tr w:rsidR="009301CC" w14:paraId="1FB54EC9" w14:textId="77777777">
        <w:tc>
          <w:tcPr>
            <w:tcW w:w="2025" w:type="dxa"/>
            <w:shd w:val="clear" w:color="auto" w:fill="auto"/>
            <w:tcMar>
              <w:top w:w="100" w:type="dxa"/>
              <w:left w:w="100" w:type="dxa"/>
              <w:bottom w:w="100" w:type="dxa"/>
              <w:right w:w="100" w:type="dxa"/>
            </w:tcMar>
          </w:tcPr>
          <w:p w14:paraId="304CDF91"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10299964" w14:textId="77777777" w:rsidR="009301CC" w:rsidRDefault="00000000">
            <w:pPr>
              <w:widowControl w:val="0"/>
              <w:spacing w:after="0" w:line="240" w:lineRule="auto"/>
            </w:pPr>
            <w:r>
              <w:t xml:space="preserve">Other instruments </w:t>
            </w:r>
            <w:r>
              <w:lastRenderedPageBreak/>
              <w:t>(to be added) …</w:t>
            </w:r>
          </w:p>
        </w:tc>
        <w:tc>
          <w:tcPr>
            <w:tcW w:w="5451" w:type="dxa"/>
            <w:shd w:val="clear" w:color="auto" w:fill="auto"/>
            <w:tcMar>
              <w:top w:w="100" w:type="dxa"/>
              <w:left w:w="100" w:type="dxa"/>
              <w:bottom w:w="100" w:type="dxa"/>
              <w:right w:w="100" w:type="dxa"/>
            </w:tcMar>
          </w:tcPr>
          <w:p w14:paraId="26EE5165" w14:textId="77777777" w:rsidR="009301CC" w:rsidRDefault="009301CC">
            <w:pPr>
              <w:widowControl w:val="0"/>
              <w:spacing w:after="0" w:line="240" w:lineRule="auto"/>
            </w:pPr>
          </w:p>
        </w:tc>
      </w:tr>
      <w:tr w:rsidR="009301CC" w14:paraId="7798D7FF" w14:textId="77777777">
        <w:tc>
          <w:tcPr>
            <w:tcW w:w="2025" w:type="dxa"/>
            <w:shd w:val="clear" w:color="auto" w:fill="auto"/>
            <w:tcMar>
              <w:top w:w="100" w:type="dxa"/>
              <w:left w:w="100" w:type="dxa"/>
              <w:bottom w:w="100" w:type="dxa"/>
              <w:right w:w="100" w:type="dxa"/>
            </w:tcMar>
          </w:tcPr>
          <w:p w14:paraId="099C2640"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467425B0" w14:textId="77777777" w:rsidR="009301CC" w:rsidRDefault="00000000">
            <w:pPr>
              <w:widowControl w:val="0"/>
              <w:spacing w:after="0" w:line="240" w:lineRule="auto"/>
            </w:pPr>
            <w:r>
              <w:t xml:space="preserve">A </w:t>
            </w:r>
          </w:p>
        </w:tc>
        <w:tc>
          <w:tcPr>
            <w:tcW w:w="5451" w:type="dxa"/>
            <w:shd w:val="clear" w:color="auto" w:fill="auto"/>
            <w:tcMar>
              <w:top w:w="100" w:type="dxa"/>
              <w:left w:w="100" w:type="dxa"/>
              <w:bottom w:w="100" w:type="dxa"/>
              <w:right w:w="100" w:type="dxa"/>
            </w:tcMar>
          </w:tcPr>
          <w:p w14:paraId="70D6B2DE" w14:textId="77777777" w:rsidR="009301CC" w:rsidRDefault="009301CC">
            <w:pPr>
              <w:widowControl w:val="0"/>
              <w:spacing w:after="0" w:line="240" w:lineRule="auto"/>
            </w:pPr>
          </w:p>
        </w:tc>
      </w:tr>
      <w:tr w:rsidR="009301CC" w14:paraId="13C7776E" w14:textId="77777777">
        <w:tc>
          <w:tcPr>
            <w:tcW w:w="2025" w:type="dxa"/>
            <w:shd w:val="clear" w:color="auto" w:fill="auto"/>
            <w:tcMar>
              <w:top w:w="100" w:type="dxa"/>
              <w:left w:w="100" w:type="dxa"/>
              <w:bottom w:w="100" w:type="dxa"/>
              <w:right w:w="100" w:type="dxa"/>
            </w:tcMar>
          </w:tcPr>
          <w:p w14:paraId="3DA33A76" w14:textId="77777777" w:rsidR="009301CC" w:rsidRDefault="00000000">
            <w:pPr>
              <w:widowControl w:val="0"/>
              <w:spacing w:after="0" w:line="240" w:lineRule="auto"/>
              <w:rPr>
                <w:shd w:val="clear" w:color="auto" w:fill="E6B8AF"/>
              </w:rPr>
            </w:pPr>
            <w:r>
              <w:rPr>
                <w:shd w:val="clear" w:color="auto" w:fill="E6B8AF"/>
              </w:rPr>
              <w:t>Action 2: TBC</w:t>
            </w:r>
          </w:p>
        </w:tc>
        <w:tc>
          <w:tcPr>
            <w:tcW w:w="1569" w:type="dxa"/>
            <w:shd w:val="clear" w:color="auto" w:fill="auto"/>
            <w:tcMar>
              <w:top w:w="100" w:type="dxa"/>
              <w:left w:w="100" w:type="dxa"/>
              <w:bottom w:w="100" w:type="dxa"/>
              <w:right w:w="100" w:type="dxa"/>
            </w:tcMar>
          </w:tcPr>
          <w:p w14:paraId="3A069F34" w14:textId="77777777" w:rsidR="009301CC" w:rsidRDefault="009301CC">
            <w:pPr>
              <w:widowControl w:val="0"/>
              <w:spacing w:after="0" w:line="240" w:lineRule="auto"/>
            </w:pPr>
          </w:p>
        </w:tc>
        <w:tc>
          <w:tcPr>
            <w:tcW w:w="5451" w:type="dxa"/>
            <w:shd w:val="clear" w:color="auto" w:fill="auto"/>
            <w:tcMar>
              <w:top w:w="100" w:type="dxa"/>
              <w:left w:w="100" w:type="dxa"/>
              <w:bottom w:w="100" w:type="dxa"/>
              <w:right w:w="100" w:type="dxa"/>
            </w:tcMar>
          </w:tcPr>
          <w:p w14:paraId="2B165BAB" w14:textId="77777777" w:rsidR="009301CC" w:rsidRDefault="009301CC">
            <w:pPr>
              <w:widowControl w:val="0"/>
              <w:spacing w:after="0" w:line="240" w:lineRule="auto"/>
            </w:pPr>
          </w:p>
        </w:tc>
      </w:tr>
      <w:tr w:rsidR="009301CC" w14:paraId="29113D31" w14:textId="77777777">
        <w:tc>
          <w:tcPr>
            <w:tcW w:w="2025" w:type="dxa"/>
            <w:shd w:val="clear" w:color="auto" w:fill="auto"/>
            <w:tcMar>
              <w:top w:w="100" w:type="dxa"/>
              <w:left w:w="100" w:type="dxa"/>
              <w:bottom w:w="100" w:type="dxa"/>
              <w:right w:w="100" w:type="dxa"/>
            </w:tcMar>
          </w:tcPr>
          <w:p w14:paraId="663D754D"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5EC9E99B" w14:textId="77777777" w:rsidR="009301CC" w:rsidRDefault="00000000">
            <w:pPr>
              <w:widowControl w:val="0"/>
              <w:spacing w:after="0" w:line="240" w:lineRule="auto"/>
            </w:pPr>
            <w:r>
              <w:t>Next instruments</w:t>
            </w:r>
          </w:p>
        </w:tc>
        <w:tc>
          <w:tcPr>
            <w:tcW w:w="5451" w:type="dxa"/>
            <w:shd w:val="clear" w:color="auto" w:fill="auto"/>
            <w:tcMar>
              <w:top w:w="100" w:type="dxa"/>
              <w:left w:w="100" w:type="dxa"/>
              <w:bottom w:w="100" w:type="dxa"/>
              <w:right w:w="100" w:type="dxa"/>
            </w:tcMar>
          </w:tcPr>
          <w:p w14:paraId="0313C8F6" w14:textId="77777777" w:rsidR="009301CC" w:rsidRDefault="009301CC">
            <w:pPr>
              <w:widowControl w:val="0"/>
              <w:spacing w:after="0" w:line="240" w:lineRule="auto"/>
            </w:pPr>
          </w:p>
        </w:tc>
      </w:tr>
      <w:tr w:rsidR="009301CC" w14:paraId="1B2466E1" w14:textId="77777777">
        <w:tc>
          <w:tcPr>
            <w:tcW w:w="2025" w:type="dxa"/>
            <w:shd w:val="clear" w:color="auto" w:fill="auto"/>
            <w:tcMar>
              <w:top w:w="100" w:type="dxa"/>
              <w:left w:w="100" w:type="dxa"/>
              <w:bottom w:w="100" w:type="dxa"/>
              <w:right w:w="100" w:type="dxa"/>
            </w:tcMar>
          </w:tcPr>
          <w:p w14:paraId="156540A5" w14:textId="77777777" w:rsidR="009301CC" w:rsidRDefault="00000000">
            <w:pPr>
              <w:widowControl w:val="0"/>
              <w:spacing w:after="0" w:line="240" w:lineRule="auto"/>
              <w:rPr>
                <w:shd w:val="clear" w:color="auto" w:fill="E6B8AF"/>
              </w:rPr>
            </w:pPr>
            <w:r>
              <w:rPr>
                <w:shd w:val="clear" w:color="auto" w:fill="E6B8AF"/>
              </w:rPr>
              <w:t>Action 3: TBC</w:t>
            </w:r>
          </w:p>
        </w:tc>
        <w:tc>
          <w:tcPr>
            <w:tcW w:w="1569" w:type="dxa"/>
            <w:shd w:val="clear" w:color="auto" w:fill="auto"/>
            <w:tcMar>
              <w:top w:w="100" w:type="dxa"/>
              <w:left w:w="100" w:type="dxa"/>
              <w:bottom w:w="100" w:type="dxa"/>
              <w:right w:w="100" w:type="dxa"/>
            </w:tcMar>
          </w:tcPr>
          <w:p w14:paraId="686DBB20" w14:textId="77777777" w:rsidR="009301CC" w:rsidRDefault="009301CC">
            <w:pPr>
              <w:widowControl w:val="0"/>
              <w:spacing w:after="0" w:line="240" w:lineRule="auto"/>
            </w:pPr>
          </w:p>
        </w:tc>
        <w:tc>
          <w:tcPr>
            <w:tcW w:w="5451" w:type="dxa"/>
            <w:shd w:val="clear" w:color="auto" w:fill="auto"/>
            <w:tcMar>
              <w:top w:w="100" w:type="dxa"/>
              <w:left w:w="100" w:type="dxa"/>
              <w:bottom w:w="100" w:type="dxa"/>
              <w:right w:w="100" w:type="dxa"/>
            </w:tcMar>
          </w:tcPr>
          <w:p w14:paraId="54B0BBE0" w14:textId="77777777" w:rsidR="009301CC" w:rsidRDefault="009301CC">
            <w:pPr>
              <w:widowControl w:val="0"/>
              <w:spacing w:after="0" w:line="240" w:lineRule="auto"/>
            </w:pPr>
          </w:p>
        </w:tc>
      </w:tr>
      <w:tr w:rsidR="009301CC" w14:paraId="53DC43F6" w14:textId="77777777">
        <w:tc>
          <w:tcPr>
            <w:tcW w:w="2025" w:type="dxa"/>
            <w:shd w:val="clear" w:color="auto" w:fill="auto"/>
            <w:tcMar>
              <w:top w:w="100" w:type="dxa"/>
              <w:left w:w="100" w:type="dxa"/>
              <w:bottom w:w="100" w:type="dxa"/>
              <w:right w:w="100" w:type="dxa"/>
            </w:tcMar>
          </w:tcPr>
          <w:p w14:paraId="5E8B8BCB"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2A7EE495" w14:textId="77777777" w:rsidR="009301CC" w:rsidRDefault="00000000">
            <w:pPr>
              <w:widowControl w:val="0"/>
              <w:spacing w:after="0" w:line="240" w:lineRule="auto"/>
            </w:pPr>
            <w:r>
              <w:t>Other instruments …</w:t>
            </w:r>
          </w:p>
        </w:tc>
        <w:tc>
          <w:tcPr>
            <w:tcW w:w="5451" w:type="dxa"/>
            <w:shd w:val="clear" w:color="auto" w:fill="auto"/>
            <w:tcMar>
              <w:top w:w="100" w:type="dxa"/>
              <w:left w:w="100" w:type="dxa"/>
              <w:bottom w:w="100" w:type="dxa"/>
              <w:right w:w="100" w:type="dxa"/>
            </w:tcMar>
          </w:tcPr>
          <w:p w14:paraId="6113E8F1" w14:textId="77777777" w:rsidR="009301CC" w:rsidRDefault="009301CC">
            <w:pPr>
              <w:widowControl w:val="0"/>
              <w:spacing w:after="0" w:line="240" w:lineRule="auto"/>
            </w:pPr>
          </w:p>
        </w:tc>
      </w:tr>
      <w:tr w:rsidR="009301CC" w14:paraId="47789CD9" w14:textId="77777777">
        <w:tc>
          <w:tcPr>
            <w:tcW w:w="2025" w:type="dxa"/>
            <w:shd w:val="clear" w:color="auto" w:fill="auto"/>
            <w:tcMar>
              <w:top w:w="100" w:type="dxa"/>
              <w:left w:w="100" w:type="dxa"/>
              <w:bottom w:w="100" w:type="dxa"/>
              <w:right w:w="100" w:type="dxa"/>
            </w:tcMar>
          </w:tcPr>
          <w:p w14:paraId="4428091C"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4EF261B8" w14:textId="77777777" w:rsidR="009301CC" w:rsidRDefault="00000000">
            <w:pPr>
              <w:widowControl w:val="0"/>
              <w:spacing w:after="0" w:line="240" w:lineRule="auto"/>
            </w:pPr>
            <w:r>
              <w:t>UNESCO ATI Declaration in AFrica</w:t>
            </w:r>
          </w:p>
        </w:tc>
        <w:tc>
          <w:tcPr>
            <w:tcW w:w="5451" w:type="dxa"/>
            <w:shd w:val="clear" w:color="auto" w:fill="auto"/>
            <w:tcMar>
              <w:top w:w="100" w:type="dxa"/>
              <w:left w:w="100" w:type="dxa"/>
              <w:bottom w:w="100" w:type="dxa"/>
              <w:right w:w="100" w:type="dxa"/>
            </w:tcMar>
          </w:tcPr>
          <w:p w14:paraId="439BB4EC" w14:textId="77777777" w:rsidR="009301CC" w:rsidRDefault="009301CC">
            <w:pPr>
              <w:widowControl w:val="0"/>
              <w:spacing w:after="0" w:line="240" w:lineRule="auto"/>
            </w:pPr>
          </w:p>
        </w:tc>
      </w:tr>
      <w:tr w:rsidR="009301CC" w14:paraId="74F783B9" w14:textId="77777777">
        <w:tc>
          <w:tcPr>
            <w:tcW w:w="2025" w:type="dxa"/>
            <w:shd w:val="clear" w:color="auto" w:fill="auto"/>
            <w:tcMar>
              <w:top w:w="100" w:type="dxa"/>
              <w:left w:w="100" w:type="dxa"/>
              <w:bottom w:w="100" w:type="dxa"/>
              <w:right w:w="100" w:type="dxa"/>
            </w:tcMar>
          </w:tcPr>
          <w:p w14:paraId="792605DF" w14:textId="77777777" w:rsidR="009301CC" w:rsidRDefault="009301CC">
            <w:pPr>
              <w:widowControl w:val="0"/>
              <w:spacing w:after="0" w:line="240" w:lineRule="auto"/>
            </w:pPr>
          </w:p>
        </w:tc>
        <w:tc>
          <w:tcPr>
            <w:tcW w:w="1569" w:type="dxa"/>
            <w:shd w:val="clear" w:color="auto" w:fill="auto"/>
            <w:tcMar>
              <w:top w:w="100" w:type="dxa"/>
              <w:left w:w="100" w:type="dxa"/>
              <w:bottom w:w="100" w:type="dxa"/>
              <w:right w:w="100" w:type="dxa"/>
            </w:tcMar>
          </w:tcPr>
          <w:p w14:paraId="42BC426F" w14:textId="77777777" w:rsidR="009301CC" w:rsidRDefault="009301CC">
            <w:pPr>
              <w:widowControl w:val="0"/>
              <w:spacing w:after="0" w:line="240" w:lineRule="auto"/>
            </w:pPr>
          </w:p>
        </w:tc>
        <w:tc>
          <w:tcPr>
            <w:tcW w:w="5451" w:type="dxa"/>
            <w:shd w:val="clear" w:color="auto" w:fill="auto"/>
            <w:tcMar>
              <w:top w:w="100" w:type="dxa"/>
              <w:left w:w="100" w:type="dxa"/>
              <w:bottom w:w="100" w:type="dxa"/>
              <w:right w:w="100" w:type="dxa"/>
            </w:tcMar>
          </w:tcPr>
          <w:p w14:paraId="4B4D7111" w14:textId="77777777" w:rsidR="009301CC" w:rsidRDefault="009301CC">
            <w:pPr>
              <w:widowControl w:val="0"/>
              <w:spacing w:after="0" w:line="240" w:lineRule="auto"/>
              <w:jc w:val="both"/>
            </w:pPr>
          </w:p>
        </w:tc>
      </w:tr>
    </w:tbl>
    <w:p w14:paraId="56853549" w14:textId="77777777" w:rsidR="009301CC" w:rsidRDefault="009301CC"/>
    <w:p w14:paraId="4F5A0CB5" w14:textId="77777777" w:rsidR="009301CC" w:rsidRDefault="009301CC"/>
    <w:p w14:paraId="4CA657C4" w14:textId="77777777" w:rsidR="009301CC" w:rsidRDefault="009301CC"/>
    <w:sectPr w:rsidR="009301CC">
      <w:headerReference w:type="default" r:id="rId26"/>
      <w:footerReference w:type="default" r:id="rId2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947EF" w14:textId="77777777" w:rsidR="00E40AF2" w:rsidRDefault="00E40AF2">
      <w:pPr>
        <w:spacing w:after="0" w:line="240" w:lineRule="auto"/>
      </w:pPr>
      <w:r>
        <w:separator/>
      </w:r>
    </w:p>
  </w:endnote>
  <w:endnote w:type="continuationSeparator" w:id="0">
    <w:p w14:paraId="6BDA552A" w14:textId="77777777" w:rsidR="00E40AF2" w:rsidRDefault="00E4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1BA4" w14:textId="77777777" w:rsidR="009301CC" w:rsidRDefault="009301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3B7FD" w14:textId="77777777" w:rsidR="00E40AF2" w:rsidRDefault="00E40AF2">
      <w:pPr>
        <w:spacing w:after="0" w:line="240" w:lineRule="auto"/>
      </w:pPr>
      <w:r>
        <w:separator/>
      </w:r>
    </w:p>
  </w:footnote>
  <w:footnote w:type="continuationSeparator" w:id="0">
    <w:p w14:paraId="7521E341" w14:textId="77777777" w:rsidR="00E40AF2" w:rsidRDefault="00E40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63C4" w14:textId="77777777" w:rsidR="009301CC" w:rsidRDefault="009301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671BD"/>
    <w:multiLevelType w:val="multilevel"/>
    <w:tmpl w:val="4500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A75353"/>
    <w:multiLevelType w:val="multilevel"/>
    <w:tmpl w:val="B5F043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E30BFF"/>
    <w:multiLevelType w:val="multilevel"/>
    <w:tmpl w:val="E278A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D663BE"/>
    <w:multiLevelType w:val="multilevel"/>
    <w:tmpl w:val="67242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486002"/>
    <w:multiLevelType w:val="multilevel"/>
    <w:tmpl w:val="CB400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5C27B7"/>
    <w:multiLevelType w:val="multilevel"/>
    <w:tmpl w:val="888E4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F376E5"/>
    <w:multiLevelType w:val="multilevel"/>
    <w:tmpl w:val="F688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B70BDD"/>
    <w:multiLevelType w:val="multilevel"/>
    <w:tmpl w:val="BEFA1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4343C41"/>
    <w:multiLevelType w:val="multilevel"/>
    <w:tmpl w:val="73BA0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B176B46"/>
    <w:multiLevelType w:val="multilevel"/>
    <w:tmpl w:val="4B5C71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633384">
    <w:abstractNumId w:val="2"/>
  </w:num>
  <w:num w:numId="2" w16cid:durableId="98455468">
    <w:abstractNumId w:val="6"/>
  </w:num>
  <w:num w:numId="3" w16cid:durableId="348221817">
    <w:abstractNumId w:val="9"/>
  </w:num>
  <w:num w:numId="4" w16cid:durableId="1469588444">
    <w:abstractNumId w:val="1"/>
  </w:num>
  <w:num w:numId="5" w16cid:durableId="1801219988">
    <w:abstractNumId w:val="8"/>
  </w:num>
  <w:num w:numId="6" w16cid:durableId="1308171364">
    <w:abstractNumId w:val="7"/>
  </w:num>
  <w:num w:numId="7" w16cid:durableId="1428885898">
    <w:abstractNumId w:val="5"/>
  </w:num>
  <w:num w:numId="8" w16cid:durableId="469631695">
    <w:abstractNumId w:val="0"/>
  </w:num>
  <w:num w:numId="9" w16cid:durableId="1276861571">
    <w:abstractNumId w:val="4"/>
  </w:num>
  <w:num w:numId="10" w16cid:durableId="166095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CC"/>
    <w:rsid w:val="00313643"/>
    <w:rsid w:val="00495237"/>
    <w:rsid w:val="009301CC"/>
    <w:rsid w:val="00AE75B7"/>
    <w:rsid w:val="00E40AF2"/>
    <w:rsid w:val="00E4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3E6D"/>
  <w15:docId w15:val="{34E70F7E-8B21-4E81-B654-35680054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56ADF"/>
    <w:pPr>
      <w:ind w:left="720"/>
      <w:contextualSpacing/>
    </w:pPr>
  </w:style>
  <w:style w:type="character" w:styleId="Hyperlink">
    <w:name w:val="Hyperlink"/>
    <w:basedOn w:val="DefaultParagraphFont"/>
    <w:uiPriority w:val="99"/>
    <w:unhideWhenUsed/>
    <w:rsid w:val="0062054D"/>
    <w:rPr>
      <w:color w:val="0000FF"/>
      <w:u w:val="single"/>
    </w:rPr>
  </w:style>
  <w:style w:type="character" w:styleId="UnresolvedMention">
    <w:name w:val="Unresolved Mention"/>
    <w:basedOn w:val="DefaultParagraphFont"/>
    <w:uiPriority w:val="99"/>
    <w:semiHidden/>
    <w:unhideWhenUsed/>
    <w:rsid w:val="00F177C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chpr.au.int/en/node/902" TargetMode="External"/><Relationship Id="rId13" Type="http://schemas.openxmlformats.org/officeDocument/2006/relationships/hyperlink" Target="https://achpr.au.int/en/node/894" TargetMode="External"/><Relationship Id="rId18" Type="http://schemas.openxmlformats.org/officeDocument/2006/relationships/hyperlink" Target="https://achpr.au.int/en/node/90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nesdoc.unesco.org/ark:/48223/pf0000387339" TargetMode="External"/><Relationship Id="rId7" Type="http://schemas.openxmlformats.org/officeDocument/2006/relationships/endnotes" Target="endnotes.xml"/><Relationship Id="rId12" Type="http://schemas.openxmlformats.org/officeDocument/2006/relationships/hyperlink" Target="https://achpr.au.int/en/node/894" TargetMode="External"/><Relationship Id="rId17" Type="http://schemas.openxmlformats.org/officeDocument/2006/relationships/hyperlink" Target="https://documents.un.org/doc/undoc/gen/g22/323/96/pdf/g2232396.pdf?token=c3RqU71f2qsDW1tnz0&amp;fe=true" TargetMode="External"/><Relationship Id="rId25" Type="http://schemas.openxmlformats.org/officeDocument/2006/relationships/hyperlink" Target="https://unesdoc.unesco.org/ark:/48223/pf0000387339" TargetMode="External"/><Relationship Id="rId2" Type="http://schemas.openxmlformats.org/officeDocument/2006/relationships/numbering" Target="numbering.xml"/><Relationship Id="rId16" Type="http://schemas.openxmlformats.org/officeDocument/2006/relationships/hyperlink" Target="https://au.int/sites/default/files/pressreleases/36586-pr-wpfdaddisdecl3_may.pdf" TargetMode="External"/><Relationship Id="rId20" Type="http://schemas.openxmlformats.org/officeDocument/2006/relationships/hyperlink" Target="https://www.ohchr.org/sites/default/files/documents/publications/guidingprinciplesbusinesshr_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pr.au.int/en/node/894" TargetMode="External"/><Relationship Id="rId24" Type="http://schemas.openxmlformats.org/officeDocument/2006/relationships/hyperlink" Target="https://www.ohchr.org/sites/default/files/documents/publications/guidingprinciplesbusinesshr_en.pdf" TargetMode="External"/><Relationship Id="rId5" Type="http://schemas.openxmlformats.org/officeDocument/2006/relationships/webSettings" Target="webSettings.xml"/><Relationship Id="rId15" Type="http://schemas.openxmlformats.org/officeDocument/2006/relationships/hyperlink" Target="https://unesdoc.unesco.org/ark:/48223/pf0000387339" TargetMode="External"/><Relationship Id="rId23" Type="http://schemas.openxmlformats.org/officeDocument/2006/relationships/hyperlink" Target="https://achpr.au.int/en/node/894" TargetMode="External"/><Relationship Id="rId28" Type="http://schemas.openxmlformats.org/officeDocument/2006/relationships/fontTable" Target="fontTable.xml"/><Relationship Id="rId10" Type="http://schemas.openxmlformats.org/officeDocument/2006/relationships/hyperlink" Target="https://achpr.au.int/en/node/902" TargetMode="External"/><Relationship Id="rId19" Type="http://schemas.openxmlformats.org/officeDocument/2006/relationships/hyperlink" Target="https://achpr.au.int/en/node/894"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chpr.au.int/en/node/902" TargetMode="External"/><Relationship Id="rId14" Type="http://schemas.openxmlformats.org/officeDocument/2006/relationships/hyperlink" Target="https://www.ohchr.org/sites/default/files/documents/publications/guidingprinciplesbusinesshr_en.pdf" TargetMode="External"/><Relationship Id="rId22" Type="http://schemas.openxmlformats.org/officeDocument/2006/relationships/hyperlink" Target="https://achpr.au.int/en/node/902" TargetMode="External"/><Relationship Id="rId27" Type="http://schemas.openxmlformats.org/officeDocument/2006/relationships/footer" Target="footer1.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qHEb+3hpIu9LPsljZ2ImpEKyA==">CgMxLjAyCGguZ2pkZ3hzOAByITFDREVsVTlOMEUxbDhXSmpxNUVVWi0zc09uaERCc0duTw==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7104BD27C01E84FA359A4B00D1DE205" ma:contentTypeVersion="15" ma:contentTypeDescription="Create a new document." ma:contentTypeScope="" ma:versionID="29c15be7046ed733d5b8eb684c657ff2">
  <xsd:schema xmlns:xsd="http://www.w3.org/2001/XMLSchema" xmlns:xs="http://www.w3.org/2001/XMLSchema" xmlns:p="http://schemas.microsoft.com/office/2006/metadata/properties" xmlns:ns2="8771052d-ade0-41a3-adb9-e620924a68fe" xmlns:ns3="4b33c1db-d2d9-4293-af37-0fe427810e67" targetNamespace="http://schemas.microsoft.com/office/2006/metadata/properties" ma:root="true" ma:fieldsID="e297cc1950ee9252bd2c2f91b619fda9" ns2:_="" ns3:_="">
    <xsd:import namespace="8771052d-ade0-41a3-adb9-e620924a68fe"/>
    <xsd:import namespace="4b33c1db-d2d9-4293-af37-0fe427810e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1052d-ade0-41a3-adb9-e620924a68f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e20759-64cf-4ce0-b66d-55cdb75584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3c1db-d2d9-4293-af37-0fe427810e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aad0fd-207a-417d-bd1a-706f43a4cdba}" ma:internalName="TaxCatchAll" ma:showField="CatchAllData" ma:web="4b33c1db-d2d9-4293-af37-0fe427810e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E2BBCE-56C7-4592-B257-4329A08E6887}"/>
</file>

<file path=customXml/itemProps3.xml><?xml version="1.0" encoding="utf-8"?>
<ds:datastoreItem xmlns:ds="http://schemas.openxmlformats.org/officeDocument/2006/customXml" ds:itemID="{745C035F-5533-47EA-B83F-7BDEB0DC1F31}"/>
</file>

<file path=docProps/app.xml><?xml version="1.0" encoding="utf-8"?>
<Properties xmlns="http://schemas.openxmlformats.org/officeDocument/2006/extended-properties" xmlns:vt="http://schemas.openxmlformats.org/officeDocument/2006/docPropsVTypes">
  <Template>Normal.dotm</Template>
  <TotalTime>40</TotalTime>
  <Pages>9</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Guy</cp:lastModifiedBy>
  <cp:revision>4</cp:revision>
  <dcterms:created xsi:type="dcterms:W3CDTF">2024-01-30T08:50:00Z</dcterms:created>
  <dcterms:modified xsi:type="dcterms:W3CDTF">2024-10-18T06:23:00Z</dcterms:modified>
</cp:coreProperties>
</file>